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61E" w:rsidRDefault="00F5640F" w:rsidP="006157E1">
      <w:pPr>
        <w:jc w:val="center"/>
        <w:rPr>
          <w:b/>
          <w:i/>
          <w:sz w:val="40"/>
          <w:szCs w:val="40"/>
          <w:lang w:val="en-US"/>
        </w:rPr>
      </w:pPr>
      <w:r>
        <w:rPr>
          <w:b/>
          <w:i/>
          <w:sz w:val="40"/>
          <w:szCs w:val="40"/>
          <w:lang w:val="en-US"/>
        </w:rPr>
        <w:t xml:space="preserve"> </w:t>
      </w:r>
    </w:p>
    <w:p w:rsidR="006157E1" w:rsidRDefault="00E87E9A" w:rsidP="006157E1">
      <w:pPr>
        <w:ind w:hanging="851"/>
        <w:jc w:val="center"/>
        <w:rPr>
          <w:b/>
          <w:sz w:val="40"/>
          <w:szCs w:val="40"/>
        </w:rPr>
      </w:pPr>
      <w:r w:rsidRPr="00B97486">
        <w:rPr>
          <w:b/>
          <w:sz w:val="40"/>
          <w:szCs w:val="40"/>
        </w:rPr>
        <w:t>СТАТИСТИЧКИ ИЗВ</w:t>
      </w:r>
      <w:r w:rsidR="006157E1">
        <w:rPr>
          <w:b/>
          <w:sz w:val="40"/>
          <w:szCs w:val="40"/>
        </w:rPr>
        <w:t>ЕШТАЈ ЗА ПОШТЕНСКИТЕ АКТИВНОСТИ</w:t>
      </w:r>
    </w:p>
    <w:p w:rsidR="00E87E9A" w:rsidRPr="006157E1" w:rsidRDefault="00E87E9A" w:rsidP="006157E1">
      <w:pPr>
        <w:ind w:hanging="851"/>
        <w:jc w:val="center"/>
        <w:rPr>
          <w:b/>
          <w:sz w:val="40"/>
          <w:szCs w:val="40"/>
          <w:lang w:val="en-US"/>
        </w:rPr>
      </w:pPr>
      <w:r w:rsidRPr="00B97486">
        <w:rPr>
          <w:b/>
          <w:sz w:val="40"/>
          <w:szCs w:val="40"/>
        </w:rPr>
        <w:t>ВО</w:t>
      </w:r>
      <w:r w:rsidR="006157E1">
        <w:rPr>
          <w:b/>
          <w:sz w:val="40"/>
          <w:szCs w:val="40"/>
        </w:rPr>
        <w:t xml:space="preserve"> </w:t>
      </w:r>
      <w:r w:rsidRPr="00B97486">
        <w:rPr>
          <w:b/>
          <w:sz w:val="40"/>
          <w:szCs w:val="40"/>
        </w:rPr>
        <w:t>РЕПУБЛИКА МАКЕДОНИЈА ВО 201</w:t>
      </w:r>
      <w:r w:rsidRPr="00B97486">
        <w:rPr>
          <w:b/>
          <w:sz w:val="40"/>
          <w:szCs w:val="40"/>
          <w:lang w:val="en-US"/>
        </w:rPr>
        <w:t>4</w:t>
      </w:r>
      <w:r w:rsidRPr="00B97486">
        <w:rPr>
          <w:b/>
          <w:sz w:val="40"/>
          <w:szCs w:val="40"/>
        </w:rPr>
        <w:t xml:space="preserve"> ГОДИНА</w:t>
      </w:r>
    </w:p>
    <w:p w:rsidR="007E161E" w:rsidRPr="007E161E" w:rsidRDefault="007E161E" w:rsidP="007E161E">
      <w:pPr>
        <w:ind w:firstLine="720"/>
        <w:rPr>
          <w:b/>
          <w:i/>
          <w:sz w:val="40"/>
          <w:szCs w:val="40"/>
          <w:lang w:val="en-US"/>
        </w:rPr>
      </w:pPr>
    </w:p>
    <w:p w:rsidR="00166587" w:rsidRDefault="00166587"/>
    <w:p w:rsidR="00166587" w:rsidRPr="00166587" w:rsidRDefault="000529D2" w:rsidP="000529D2">
      <w:pPr>
        <w:ind w:left="-1418" w:right="-1440"/>
      </w:pPr>
      <w:r>
        <w:rPr>
          <w:noProof/>
          <w:lang w:eastAsia="mk-MK"/>
        </w:rPr>
        <w:drawing>
          <wp:inline distT="0" distB="0" distL="0" distR="0">
            <wp:extent cx="7543800" cy="4800600"/>
            <wp:effectExtent l="0" t="0" r="0" b="0"/>
            <wp:docPr id="6" name="Picture 6" descr="C:\Users\User\Desktop\stat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atistic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501" cy="4806137"/>
                    </a:xfrm>
                    <a:prstGeom prst="rect">
                      <a:avLst/>
                    </a:prstGeom>
                    <a:noFill/>
                    <a:ln>
                      <a:noFill/>
                    </a:ln>
                  </pic:spPr>
                </pic:pic>
              </a:graphicData>
            </a:graphic>
          </wp:inline>
        </w:drawing>
      </w:r>
    </w:p>
    <w:p w:rsidR="00166587" w:rsidRPr="00166587" w:rsidRDefault="00166587" w:rsidP="00166587"/>
    <w:p w:rsidR="00166587" w:rsidRPr="00166587" w:rsidRDefault="00166587" w:rsidP="00166587"/>
    <w:p w:rsidR="00166587" w:rsidRPr="007A7374" w:rsidRDefault="00166587" w:rsidP="00B97486">
      <w:pPr>
        <w:ind w:right="237"/>
        <w:jc w:val="center"/>
        <w:rPr>
          <w:b/>
          <w:sz w:val="24"/>
          <w:szCs w:val="24"/>
        </w:rPr>
      </w:pPr>
      <w:r w:rsidRPr="007A7374">
        <w:rPr>
          <w:b/>
          <w:sz w:val="24"/>
          <w:szCs w:val="24"/>
        </w:rPr>
        <w:t>Скопје, октомври 201</w:t>
      </w:r>
      <w:r w:rsidRPr="007A7374">
        <w:rPr>
          <w:b/>
          <w:sz w:val="24"/>
          <w:szCs w:val="24"/>
          <w:lang w:val="en-US"/>
        </w:rPr>
        <w:t>5</w:t>
      </w:r>
      <w:r w:rsidRPr="007A7374">
        <w:rPr>
          <w:b/>
          <w:sz w:val="24"/>
          <w:szCs w:val="24"/>
        </w:rPr>
        <w:t xml:space="preserve"> година</w:t>
      </w:r>
    </w:p>
    <w:p w:rsidR="00166587" w:rsidRDefault="00166587" w:rsidP="00166587">
      <w:pPr>
        <w:tabs>
          <w:tab w:val="left" w:pos="3669"/>
        </w:tabs>
        <w:rPr>
          <w:lang w:val="en-US"/>
        </w:rPr>
      </w:pPr>
    </w:p>
    <w:p w:rsidR="00B97486" w:rsidRDefault="00B97486" w:rsidP="00166587">
      <w:pPr>
        <w:tabs>
          <w:tab w:val="left" w:pos="3669"/>
        </w:tabs>
        <w:rPr>
          <w:b/>
          <w:sz w:val="32"/>
          <w:szCs w:val="32"/>
        </w:rPr>
      </w:pPr>
    </w:p>
    <w:p w:rsidR="00166587" w:rsidRPr="007A7374" w:rsidRDefault="00166587" w:rsidP="00166587">
      <w:pPr>
        <w:tabs>
          <w:tab w:val="left" w:pos="3669"/>
        </w:tabs>
        <w:rPr>
          <w:b/>
          <w:sz w:val="32"/>
          <w:szCs w:val="32"/>
          <w:lang w:val="en-US"/>
        </w:rPr>
      </w:pPr>
    </w:p>
    <w:sdt>
      <w:sdtPr>
        <w:rPr>
          <w:rFonts w:asciiTheme="minorHAnsi" w:eastAsiaTheme="minorEastAsia" w:hAnsiTheme="minorHAnsi" w:cstheme="minorBidi"/>
          <w:b w:val="0"/>
          <w:bCs w:val="0"/>
          <w:color w:val="000000" w:themeColor="text1"/>
          <w:sz w:val="22"/>
          <w:szCs w:val="22"/>
          <w:lang w:eastAsia="en-US"/>
        </w:rPr>
        <w:id w:val="-2023776719"/>
        <w:docPartObj>
          <w:docPartGallery w:val="Table of Contents"/>
          <w:docPartUnique/>
        </w:docPartObj>
      </w:sdtPr>
      <w:sdtEndPr>
        <w:rPr>
          <w:rFonts w:eastAsiaTheme="minorHAnsi"/>
          <w:color w:val="auto"/>
        </w:rPr>
      </w:sdtEndPr>
      <w:sdtContent>
        <w:p w:rsidR="007A7374" w:rsidRPr="00F4688F" w:rsidRDefault="007A7374" w:rsidP="007A7374">
          <w:pPr>
            <w:pStyle w:val="TOCHeading"/>
            <w:ind w:right="237"/>
            <w:rPr>
              <w:color w:val="000000" w:themeColor="text1"/>
              <w:sz w:val="22"/>
              <w:szCs w:val="22"/>
              <w:lang w:val="en-US"/>
            </w:rPr>
          </w:pPr>
          <w:r w:rsidRPr="00F4688F">
            <w:rPr>
              <w:rFonts w:asciiTheme="minorHAnsi" w:eastAsiaTheme="minorEastAsia" w:hAnsiTheme="minorHAnsi" w:cstheme="minorBidi"/>
              <w:color w:val="000000" w:themeColor="text1"/>
              <w:sz w:val="22"/>
              <w:szCs w:val="22"/>
            </w:rPr>
            <w:t>СОДРЖИНА</w:t>
          </w:r>
        </w:p>
        <w:p w:rsidR="007A7374" w:rsidRPr="00F4688F" w:rsidRDefault="007A7374" w:rsidP="007A7374">
          <w:pPr>
            <w:ind w:right="237"/>
            <w:rPr>
              <w:color w:val="000000" w:themeColor="text1"/>
              <w:lang w:val="en-US" w:eastAsia="mk-MK"/>
            </w:rPr>
          </w:pPr>
        </w:p>
        <w:p w:rsidR="007A7374" w:rsidRPr="00F4688F" w:rsidRDefault="007A7374" w:rsidP="007A7374">
          <w:pPr>
            <w:ind w:right="237"/>
            <w:rPr>
              <w:rFonts w:eastAsiaTheme="minorEastAsia"/>
              <w:b/>
              <w:bCs/>
              <w:color w:val="000000" w:themeColor="text1"/>
              <w:lang w:eastAsia="mk-MK"/>
            </w:rPr>
          </w:pPr>
          <w:r w:rsidRPr="00F4688F">
            <w:rPr>
              <w:rFonts w:eastAsiaTheme="minorEastAsia"/>
              <w:b/>
              <w:bCs/>
              <w:color w:val="000000" w:themeColor="text1"/>
              <w:lang w:eastAsia="mk-MK"/>
            </w:rPr>
            <w:t xml:space="preserve">       ВОВЕД......................................................................................</w:t>
          </w:r>
          <w:r w:rsidRPr="00F4688F">
            <w:rPr>
              <w:rFonts w:eastAsiaTheme="minorEastAsia"/>
              <w:b/>
              <w:bCs/>
              <w:color w:val="000000" w:themeColor="text1"/>
              <w:lang w:val="en-US" w:eastAsia="mk-MK"/>
            </w:rPr>
            <w:t>...</w:t>
          </w:r>
          <w:r w:rsidRPr="00F4688F">
            <w:rPr>
              <w:rFonts w:eastAsiaTheme="minorEastAsia"/>
              <w:b/>
              <w:bCs/>
              <w:color w:val="000000" w:themeColor="text1"/>
              <w:lang w:eastAsia="mk-MK"/>
            </w:rPr>
            <w:t>.............................................3</w:t>
          </w:r>
        </w:p>
        <w:p w:rsidR="007A7374" w:rsidRPr="00F4688F" w:rsidRDefault="007A7374" w:rsidP="007A7374">
          <w:pPr>
            <w:numPr>
              <w:ilvl w:val="0"/>
              <w:numId w:val="13"/>
            </w:numPr>
            <w:tabs>
              <w:tab w:val="left" w:pos="5940"/>
            </w:tabs>
            <w:ind w:right="237"/>
            <w:rPr>
              <w:rFonts w:eastAsiaTheme="minorEastAsia"/>
              <w:b/>
              <w:bCs/>
              <w:color w:val="000000" w:themeColor="text1"/>
              <w:u w:val="single"/>
              <w:lang w:eastAsia="mk-MK"/>
            </w:rPr>
          </w:pPr>
          <w:r w:rsidRPr="00F4688F">
            <w:rPr>
              <w:b/>
              <w:color w:val="000000" w:themeColor="text1"/>
            </w:rPr>
            <w:t xml:space="preserve">Даватели на поштенски услуги </w:t>
          </w:r>
          <w:r w:rsidRPr="00F4688F">
            <w:rPr>
              <w:b/>
              <w:color w:val="000000" w:themeColor="text1"/>
              <w:lang w:val="en-US"/>
            </w:rPr>
            <w:t>………………</w:t>
          </w:r>
          <w:r w:rsidRPr="00F4688F">
            <w:rPr>
              <w:rFonts w:eastAsiaTheme="minorEastAsia"/>
              <w:b/>
              <w:bCs/>
              <w:color w:val="000000" w:themeColor="text1"/>
              <w:lang w:eastAsia="mk-MK"/>
            </w:rPr>
            <w:t>...........................</w:t>
          </w:r>
          <w:r>
            <w:rPr>
              <w:rFonts w:eastAsiaTheme="minorEastAsia"/>
              <w:b/>
              <w:bCs/>
              <w:color w:val="000000" w:themeColor="text1"/>
              <w:lang w:val="en-US" w:eastAsia="mk-MK"/>
            </w:rPr>
            <w:t>......</w:t>
          </w:r>
          <w:r w:rsidRPr="00F4688F">
            <w:rPr>
              <w:rFonts w:eastAsiaTheme="minorEastAsia"/>
              <w:b/>
              <w:bCs/>
              <w:color w:val="000000" w:themeColor="text1"/>
              <w:lang w:eastAsia="mk-MK"/>
            </w:rPr>
            <w:t>...................</w:t>
          </w:r>
          <w:r w:rsidRPr="00F4688F">
            <w:rPr>
              <w:rFonts w:eastAsiaTheme="minorEastAsia"/>
              <w:b/>
              <w:bCs/>
              <w:color w:val="000000" w:themeColor="text1"/>
              <w:lang w:val="en-US" w:eastAsia="mk-MK"/>
            </w:rPr>
            <w:t>.</w:t>
          </w:r>
          <w:r w:rsidRPr="00F4688F">
            <w:rPr>
              <w:rFonts w:eastAsiaTheme="minorEastAsia"/>
              <w:b/>
              <w:bCs/>
              <w:color w:val="000000" w:themeColor="text1"/>
              <w:lang w:eastAsia="mk-MK"/>
            </w:rPr>
            <w:t>....</w:t>
          </w:r>
          <w:r>
            <w:rPr>
              <w:rFonts w:eastAsiaTheme="minorEastAsia"/>
              <w:b/>
              <w:bCs/>
              <w:color w:val="000000" w:themeColor="text1"/>
              <w:lang w:eastAsia="mk-MK"/>
            </w:rPr>
            <w:t>.......</w:t>
          </w:r>
          <w:r w:rsidRPr="00F4688F">
            <w:rPr>
              <w:rFonts w:eastAsiaTheme="minorEastAsia"/>
              <w:b/>
              <w:bCs/>
              <w:color w:val="000000" w:themeColor="text1"/>
              <w:lang w:eastAsia="mk-MK"/>
            </w:rPr>
            <w:t>.........3</w:t>
          </w:r>
        </w:p>
        <w:p w:rsidR="007A7374" w:rsidRPr="00F4688F" w:rsidRDefault="007A7374" w:rsidP="007A7374">
          <w:pPr>
            <w:pStyle w:val="ListParagraph"/>
            <w:numPr>
              <w:ilvl w:val="1"/>
              <w:numId w:val="15"/>
            </w:numPr>
            <w:tabs>
              <w:tab w:val="left" w:pos="5940"/>
            </w:tabs>
            <w:ind w:left="993" w:right="237"/>
            <w:jc w:val="both"/>
            <w:rPr>
              <w:b/>
              <w:color w:val="000000" w:themeColor="text1"/>
            </w:rPr>
          </w:pPr>
          <w:r w:rsidRPr="00F4688F">
            <w:rPr>
              <w:b/>
              <w:color w:val="000000" w:themeColor="text1"/>
            </w:rPr>
            <w:t>Давател на универзална услуга.........................................</w:t>
          </w:r>
          <w:r>
            <w:rPr>
              <w:b/>
              <w:color w:val="000000" w:themeColor="text1"/>
              <w:lang w:val="en-US"/>
            </w:rPr>
            <w:t>......</w:t>
          </w:r>
          <w:r w:rsidRPr="00F4688F">
            <w:rPr>
              <w:b/>
              <w:color w:val="000000" w:themeColor="text1"/>
            </w:rPr>
            <w:t>.........</w:t>
          </w:r>
          <w:r>
            <w:rPr>
              <w:b/>
              <w:color w:val="000000" w:themeColor="text1"/>
            </w:rPr>
            <w:t>...........................3</w:t>
          </w:r>
        </w:p>
        <w:p w:rsidR="007A7374" w:rsidRPr="00F4688F" w:rsidRDefault="007A7374" w:rsidP="00AA76D0">
          <w:pPr>
            <w:pStyle w:val="ListParagraph"/>
            <w:numPr>
              <w:ilvl w:val="1"/>
              <w:numId w:val="15"/>
            </w:numPr>
            <w:tabs>
              <w:tab w:val="left" w:pos="5940"/>
            </w:tabs>
            <w:ind w:left="993" w:right="237"/>
            <w:rPr>
              <w:b/>
              <w:color w:val="000000" w:themeColor="text1"/>
            </w:rPr>
          </w:pPr>
          <w:r w:rsidRPr="00F4688F">
            <w:rPr>
              <w:b/>
              <w:color w:val="000000" w:themeColor="text1"/>
            </w:rPr>
            <w:t>Даватели на поштенски услуги на слободниот поштенски пазар.............................................................................................</w:t>
          </w:r>
          <w:r>
            <w:rPr>
              <w:b/>
              <w:color w:val="000000" w:themeColor="text1"/>
            </w:rPr>
            <w:t>............</w:t>
          </w:r>
          <w:r>
            <w:rPr>
              <w:b/>
              <w:color w:val="000000" w:themeColor="text1"/>
              <w:lang w:val="en-US"/>
            </w:rPr>
            <w:t>.....</w:t>
          </w:r>
          <w:r>
            <w:rPr>
              <w:b/>
              <w:color w:val="000000" w:themeColor="text1"/>
            </w:rPr>
            <w:t>..............4</w:t>
          </w:r>
        </w:p>
        <w:p w:rsidR="007A7374" w:rsidRPr="00F4688F" w:rsidRDefault="007A7374" w:rsidP="007A7374">
          <w:pPr>
            <w:numPr>
              <w:ilvl w:val="0"/>
              <w:numId w:val="13"/>
            </w:numPr>
            <w:ind w:right="237"/>
            <w:rPr>
              <w:rFonts w:eastAsiaTheme="minorEastAsia"/>
              <w:b/>
              <w:bCs/>
              <w:color w:val="000000" w:themeColor="text1"/>
              <w:u w:val="single"/>
              <w:lang w:eastAsia="mk-MK"/>
            </w:rPr>
          </w:pPr>
          <w:r w:rsidRPr="00F4688F">
            <w:rPr>
              <w:rFonts w:eastAsiaTheme="minorEastAsia"/>
              <w:b/>
              <w:bCs/>
              <w:color w:val="000000" w:themeColor="text1"/>
              <w:lang w:eastAsia="mk-MK"/>
            </w:rPr>
            <w:t>Основни дефиниции.....................................................</w:t>
          </w:r>
          <w:r>
            <w:rPr>
              <w:rFonts w:eastAsiaTheme="minorEastAsia"/>
              <w:b/>
              <w:bCs/>
              <w:color w:val="000000" w:themeColor="text1"/>
              <w:lang w:eastAsia="mk-MK"/>
            </w:rPr>
            <w:t>.....</w:t>
          </w:r>
          <w:r w:rsidRPr="00F4688F">
            <w:rPr>
              <w:rFonts w:eastAsiaTheme="minorEastAsia"/>
              <w:b/>
              <w:bCs/>
              <w:color w:val="000000" w:themeColor="text1"/>
              <w:lang w:eastAsia="mk-MK"/>
            </w:rPr>
            <w:t>................</w:t>
          </w:r>
          <w:r>
            <w:rPr>
              <w:rFonts w:eastAsiaTheme="minorEastAsia"/>
              <w:b/>
              <w:bCs/>
              <w:color w:val="000000" w:themeColor="text1"/>
              <w:lang w:val="en-US" w:eastAsia="mk-MK"/>
            </w:rPr>
            <w:t>.....</w:t>
          </w:r>
          <w:r w:rsidRPr="00F4688F">
            <w:rPr>
              <w:rFonts w:eastAsiaTheme="minorEastAsia"/>
              <w:b/>
              <w:bCs/>
              <w:color w:val="000000" w:themeColor="text1"/>
              <w:lang w:eastAsia="mk-MK"/>
            </w:rPr>
            <w:t>.........................</w:t>
          </w:r>
          <w:r>
            <w:rPr>
              <w:rFonts w:eastAsiaTheme="minorEastAsia"/>
              <w:b/>
              <w:bCs/>
              <w:color w:val="000000" w:themeColor="text1"/>
              <w:lang w:eastAsia="mk-MK"/>
            </w:rPr>
            <w:t>.5</w:t>
          </w:r>
        </w:p>
        <w:p w:rsidR="007A7374" w:rsidRPr="00F4688F" w:rsidRDefault="007A7374" w:rsidP="007A7374">
          <w:pPr>
            <w:numPr>
              <w:ilvl w:val="0"/>
              <w:numId w:val="13"/>
            </w:numPr>
            <w:ind w:right="237"/>
            <w:rPr>
              <w:rFonts w:eastAsiaTheme="minorEastAsia"/>
              <w:b/>
              <w:bCs/>
              <w:color w:val="000000" w:themeColor="text1"/>
              <w:u w:val="single"/>
              <w:lang w:eastAsia="mk-MK"/>
            </w:rPr>
          </w:pPr>
          <w:r w:rsidRPr="00F4688F">
            <w:rPr>
              <w:rFonts w:eastAsiaTheme="minorEastAsia"/>
              <w:b/>
              <w:bCs/>
              <w:color w:val="000000" w:themeColor="text1"/>
              <w:lang w:eastAsia="mk-MK"/>
            </w:rPr>
            <w:t>Методологија....................................................................................</w:t>
          </w:r>
          <w:r>
            <w:rPr>
              <w:rFonts w:eastAsiaTheme="minorEastAsia"/>
              <w:b/>
              <w:bCs/>
              <w:color w:val="000000" w:themeColor="text1"/>
              <w:lang w:val="en-US" w:eastAsia="mk-MK"/>
            </w:rPr>
            <w:t>.....</w:t>
          </w:r>
          <w:r w:rsidRPr="00F4688F">
            <w:rPr>
              <w:rFonts w:eastAsiaTheme="minorEastAsia"/>
              <w:b/>
              <w:bCs/>
              <w:color w:val="000000" w:themeColor="text1"/>
              <w:lang w:eastAsia="mk-MK"/>
            </w:rPr>
            <w:t>...........................5</w:t>
          </w:r>
        </w:p>
        <w:p w:rsidR="007A7374" w:rsidRPr="00F4688F" w:rsidRDefault="007A7374" w:rsidP="007A7374">
          <w:pPr>
            <w:numPr>
              <w:ilvl w:val="0"/>
              <w:numId w:val="13"/>
            </w:numPr>
            <w:ind w:right="237"/>
            <w:rPr>
              <w:rFonts w:eastAsiaTheme="minorEastAsia"/>
              <w:b/>
              <w:bCs/>
              <w:color w:val="000000" w:themeColor="text1"/>
              <w:u w:val="single"/>
              <w:lang w:eastAsia="mk-MK"/>
            </w:rPr>
          </w:pPr>
          <w:r w:rsidRPr="00F4688F">
            <w:rPr>
              <w:rFonts w:eastAsiaTheme="minorEastAsia"/>
              <w:b/>
              <w:bCs/>
              <w:color w:val="000000" w:themeColor="text1"/>
              <w:lang w:eastAsia="mk-MK"/>
            </w:rPr>
            <w:t>Податоци за вработените во поштенскиот сектор..........................</w:t>
          </w:r>
          <w:r>
            <w:rPr>
              <w:rFonts w:eastAsiaTheme="minorEastAsia"/>
              <w:b/>
              <w:bCs/>
              <w:color w:val="000000" w:themeColor="text1"/>
              <w:lang w:val="en-US" w:eastAsia="mk-MK"/>
            </w:rPr>
            <w:t>.....</w:t>
          </w:r>
          <w:r w:rsidRPr="00F4688F">
            <w:rPr>
              <w:rFonts w:eastAsiaTheme="minorEastAsia"/>
              <w:b/>
              <w:bCs/>
              <w:color w:val="000000" w:themeColor="text1"/>
              <w:lang w:eastAsia="mk-MK"/>
            </w:rPr>
            <w:t>............................</w:t>
          </w:r>
          <w:r w:rsidRPr="00F4688F">
            <w:rPr>
              <w:rFonts w:eastAsiaTheme="minorEastAsia"/>
              <w:b/>
              <w:bCs/>
              <w:color w:val="000000" w:themeColor="text1"/>
              <w:lang w:val="en-US" w:eastAsia="mk-MK"/>
            </w:rPr>
            <w:t>7</w:t>
          </w:r>
        </w:p>
        <w:p w:rsidR="007A7374" w:rsidRPr="000D5478" w:rsidRDefault="007A7374" w:rsidP="007A7374">
          <w:pPr>
            <w:numPr>
              <w:ilvl w:val="0"/>
              <w:numId w:val="13"/>
            </w:numPr>
            <w:tabs>
              <w:tab w:val="left" w:pos="5940"/>
            </w:tabs>
            <w:ind w:right="237"/>
            <w:jc w:val="both"/>
            <w:rPr>
              <w:b/>
              <w:color w:val="000000" w:themeColor="text1"/>
            </w:rPr>
          </w:pPr>
          <w:r w:rsidRPr="00F4688F">
            <w:rPr>
              <w:b/>
              <w:color w:val="000000" w:themeColor="text1"/>
            </w:rPr>
            <w:t>В</w:t>
          </w:r>
          <w:r>
            <w:rPr>
              <w:b/>
              <w:color w:val="000000" w:themeColor="text1"/>
            </w:rPr>
            <w:t>купен обем на поштенскиот пазар</w:t>
          </w:r>
          <w:r w:rsidRPr="00F4688F">
            <w:rPr>
              <w:rFonts w:eastAsiaTheme="minorEastAsia"/>
              <w:b/>
              <w:bCs/>
              <w:color w:val="000000" w:themeColor="text1"/>
              <w:lang w:eastAsia="mk-MK"/>
            </w:rPr>
            <w:t>.................................................</w:t>
          </w:r>
          <w:r>
            <w:rPr>
              <w:rFonts w:eastAsiaTheme="minorEastAsia"/>
              <w:b/>
              <w:bCs/>
              <w:color w:val="000000" w:themeColor="text1"/>
              <w:lang w:val="en-US" w:eastAsia="mk-MK"/>
            </w:rPr>
            <w:t>.....</w:t>
          </w:r>
          <w:r w:rsidRPr="00F4688F">
            <w:rPr>
              <w:rFonts w:eastAsiaTheme="minorEastAsia"/>
              <w:b/>
              <w:bCs/>
              <w:color w:val="000000" w:themeColor="text1"/>
              <w:lang w:eastAsia="mk-MK"/>
            </w:rPr>
            <w:t>...........</w:t>
          </w:r>
          <w:r w:rsidRPr="00F4688F">
            <w:rPr>
              <w:rFonts w:eastAsiaTheme="minorEastAsia"/>
              <w:b/>
              <w:bCs/>
              <w:color w:val="000000" w:themeColor="text1"/>
              <w:lang w:val="en-US" w:eastAsia="mk-MK"/>
            </w:rPr>
            <w:t>.</w:t>
          </w:r>
          <w:r w:rsidRPr="00F4688F">
            <w:rPr>
              <w:rFonts w:eastAsiaTheme="minorEastAsia"/>
              <w:b/>
              <w:bCs/>
              <w:color w:val="000000" w:themeColor="text1"/>
              <w:lang w:eastAsia="mk-MK"/>
            </w:rPr>
            <w:t>.</w:t>
          </w:r>
          <w:r>
            <w:rPr>
              <w:rFonts w:eastAsiaTheme="minorEastAsia"/>
              <w:b/>
              <w:bCs/>
              <w:color w:val="000000" w:themeColor="text1"/>
              <w:lang w:eastAsia="mk-MK"/>
            </w:rPr>
            <w:t>........</w:t>
          </w:r>
          <w:r w:rsidRPr="00F4688F">
            <w:rPr>
              <w:rFonts w:eastAsiaTheme="minorEastAsia"/>
              <w:b/>
              <w:bCs/>
              <w:color w:val="000000" w:themeColor="text1"/>
              <w:lang w:eastAsia="mk-MK"/>
            </w:rPr>
            <w:t>....10</w:t>
          </w:r>
        </w:p>
        <w:p w:rsidR="007A7374" w:rsidRPr="000D5478" w:rsidRDefault="007A7374" w:rsidP="007A7374">
          <w:pPr>
            <w:numPr>
              <w:ilvl w:val="1"/>
              <w:numId w:val="14"/>
            </w:numPr>
            <w:tabs>
              <w:tab w:val="left" w:pos="5940"/>
            </w:tabs>
            <w:jc w:val="both"/>
            <w:rPr>
              <w:b/>
              <w:i/>
              <w:color w:val="000000" w:themeColor="text1"/>
              <w:u w:val="single"/>
            </w:rPr>
          </w:pPr>
          <w:r>
            <w:rPr>
              <w:b/>
              <w:color w:val="000000" w:themeColor="text1"/>
            </w:rPr>
            <w:t xml:space="preserve"> </w:t>
          </w:r>
          <w:r w:rsidRPr="000D5478">
            <w:rPr>
              <w:b/>
              <w:i/>
              <w:color w:val="000000" w:themeColor="text1"/>
            </w:rPr>
            <w:t>Македонска пошта</w:t>
          </w:r>
          <w:r>
            <w:rPr>
              <w:b/>
              <w:i/>
              <w:color w:val="000000" w:themeColor="text1"/>
              <w:u w:val="single"/>
            </w:rPr>
            <w:t xml:space="preserve"> </w:t>
          </w:r>
          <w:r>
            <w:rPr>
              <w:b/>
              <w:color w:val="000000" w:themeColor="text1"/>
            </w:rPr>
            <w:t>........................................................................</w:t>
          </w:r>
          <w:r>
            <w:rPr>
              <w:b/>
              <w:color w:val="000000" w:themeColor="text1"/>
              <w:lang w:val="en-US"/>
            </w:rPr>
            <w:t>.....</w:t>
          </w:r>
          <w:r>
            <w:rPr>
              <w:b/>
              <w:color w:val="000000" w:themeColor="text1"/>
            </w:rPr>
            <w:t>.........................10</w:t>
          </w:r>
        </w:p>
        <w:p w:rsidR="007A7374" w:rsidRPr="007A7374" w:rsidRDefault="007A7374" w:rsidP="007A7374">
          <w:pPr>
            <w:pStyle w:val="ListParagraph"/>
            <w:numPr>
              <w:ilvl w:val="2"/>
              <w:numId w:val="14"/>
            </w:numPr>
            <w:ind w:right="237"/>
            <w:rPr>
              <w:b/>
              <w:i/>
              <w:u w:val="single"/>
            </w:rPr>
          </w:pPr>
          <w:r w:rsidRPr="007A7374">
            <w:rPr>
              <w:b/>
              <w:i/>
            </w:rPr>
            <w:t>Анализа на поштенскиот сообраќај кај Македонска пошта</w:t>
          </w:r>
          <w:r w:rsidRPr="007A7374">
            <w:rPr>
              <w:b/>
            </w:rPr>
            <w:t>...........</w:t>
          </w:r>
          <w:r w:rsidRPr="007A7374">
            <w:rPr>
              <w:b/>
              <w:lang w:val="en-US"/>
            </w:rPr>
            <w:t>....</w:t>
          </w:r>
          <w:r>
            <w:rPr>
              <w:b/>
              <w:lang w:val="en-US"/>
            </w:rPr>
            <w:t>..</w:t>
          </w:r>
          <w:r w:rsidRPr="007A7374">
            <w:rPr>
              <w:b/>
            </w:rPr>
            <w:t>......11</w:t>
          </w:r>
        </w:p>
        <w:p w:rsidR="007A7374" w:rsidRPr="007A7374" w:rsidRDefault="007A7374" w:rsidP="007A7374">
          <w:pPr>
            <w:pStyle w:val="ListParagraph"/>
            <w:numPr>
              <w:ilvl w:val="3"/>
              <w:numId w:val="14"/>
            </w:numPr>
            <w:tabs>
              <w:tab w:val="left" w:pos="1134"/>
            </w:tabs>
            <w:ind w:left="1701" w:right="237" w:hanging="992"/>
            <w:rPr>
              <w:b/>
              <w:i/>
            </w:rPr>
          </w:pPr>
          <w:r w:rsidRPr="007A7374">
            <w:rPr>
              <w:b/>
              <w:i/>
            </w:rPr>
            <w:t xml:space="preserve">Анализа на пратки за коресподенција кај Македонска пошта </w:t>
          </w:r>
          <w:r w:rsidRPr="007A7374">
            <w:rPr>
              <w:b/>
            </w:rPr>
            <w:t>........</w:t>
          </w:r>
          <w:r>
            <w:rPr>
              <w:b/>
              <w:lang w:val="en-US"/>
            </w:rPr>
            <w:t>.....</w:t>
          </w:r>
          <w:r w:rsidRPr="007A7374">
            <w:rPr>
              <w:b/>
            </w:rPr>
            <w:t>..12</w:t>
          </w:r>
        </w:p>
        <w:p w:rsidR="007A7374" w:rsidRPr="007A7374" w:rsidRDefault="007A7374" w:rsidP="007A7374">
          <w:pPr>
            <w:pStyle w:val="ListParagraph"/>
            <w:numPr>
              <w:ilvl w:val="3"/>
              <w:numId w:val="14"/>
            </w:numPr>
            <w:ind w:left="1701" w:hanging="992"/>
            <w:rPr>
              <w:b/>
              <w:i/>
            </w:rPr>
          </w:pPr>
          <w:r w:rsidRPr="007A7374">
            <w:rPr>
              <w:b/>
              <w:i/>
            </w:rPr>
            <w:t xml:space="preserve">Анализа на пакети кај Македонска пошта </w:t>
          </w:r>
          <w:r w:rsidRPr="007A7374">
            <w:rPr>
              <w:b/>
            </w:rPr>
            <w:t>.......................................</w:t>
          </w:r>
          <w:r>
            <w:rPr>
              <w:b/>
              <w:lang w:val="en-US"/>
            </w:rPr>
            <w:t>....</w:t>
          </w:r>
          <w:r w:rsidRPr="007A7374">
            <w:rPr>
              <w:b/>
            </w:rPr>
            <w:t>...14</w:t>
          </w:r>
        </w:p>
        <w:p w:rsidR="007A7374" w:rsidRPr="000D5478" w:rsidRDefault="007A7374" w:rsidP="007A7374">
          <w:pPr>
            <w:pStyle w:val="ListParagraph"/>
            <w:ind w:left="1701"/>
            <w:rPr>
              <w:b/>
              <w:i/>
            </w:rPr>
          </w:pPr>
        </w:p>
        <w:p w:rsidR="00AA76D0" w:rsidRPr="00AA76D0" w:rsidRDefault="007A7374" w:rsidP="00AA76D0">
          <w:pPr>
            <w:pStyle w:val="ListParagraph"/>
            <w:numPr>
              <w:ilvl w:val="1"/>
              <w:numId w:val="14"/>
            </w:numPr>
            <w:ind w:right="237"/>
            <w:rPr>
              <w:b/>
              <w:i/>
            </w:rPr>
          </w:pPr>
          <w:r w:rsidRPr="000D5478">
            <w:rPr>
              <w:b/>
              <w:i/>
            </w:rPr>
            <w:t xml:space="preserve">Анализа на обемот на поштенските пратки кај давателите на поштенски </w:t>
          </w:r>
        </w:p>
        <w:p w:rsidR="007A7374" w:rsidRPr="000D5478" w:rsidRDefault="007A7374" w:rsidP="00AA76D0">
          <w:pPr>
            <w:pStyle w:val="ListParagraph"/>
            <w:ind w:left="659" w:right="237"/>
            <w:rPr>
              <w:b/>
              <w:i/>
            </w:rPr>
          </w:pPr>
          <w:r w:rsidRPr="000D5478">
            <w:rPr>
              <w:b/>
              <w:i/>
            </w:rPr>
            <w:t>услуги на слободниот поштенски пазар</w:t>
          </w:r>
          <w:r>
            <w:rPr>
              <w:b/>
              <w:i/>
            </w:rPr>
            <w:t xml:space="preserve"> </w:t>
          </w:r>
          <w:r w:rsidR="00AA76D0">
            <w:rPr>
              <w:b/>
              <w:i/>
              <w:lang w:val="en-US"/>
            </w:rPr>
            <w:t>.</w:t>
          </w:r>
          <w:r>
            <w:rPr>
              <w:b/>
            </w:rPr>
            <w:t>...........................................</w:t>
          </w:r>
          <w:r>
            <w:rPr>
              <w:b/>
              <w:lang w:val="en-US"/>
            </w:rPr>
            <w:t>.....................</w:t>
          </w:r>
          <w:r>
            <w:rPr>
              <w:b/>
            </w:rPr>
            <w:t>....15</w:t>
          </w:r>
        </w:p>
        <w:p w:rsidR="007A7374" w:rsidRDefault="007A7374" w:rsidP="007A7374">
          <w:pPr>
            <w:numPr>
              <w:ilvl w:val="0"/>
              <w:numId w:val="13"/>
            </w:numPr>
            <w:tabs>
              <w:tab w:val="left" w:pos="5940"/>
            </w:tabs>
            <w:ind w:right="237"/>
            <w:jc w:val="both"/>
            <w:rPr>
              <w:b/>
              <w:color w:val="000000" w:themeColor="text1"/>
            </w:rPr>
          </w:pPr>
          <w:r w:rsidRPr="00F4688F">
            <w:rPr>
              <w:b/>
              <w:color w:val="000000" w:themeColor="text1"/>
            </w:rPr>
            <w:t>Точки за пристап до поштенските ус</w:t>
          </w:r>
          <w:r>
            <w:rPr>
              <w:b/>
              <w:color w:val="000000" w:themeColor="text1"/>
            </w:rPr>
            <w:t>луги....................................................</w:t>
          </w:r>
          <w:r>
            <w:rPr>
              <w:b/>
              <w:color w:val="000000" w:themeColor="text1"/>
              <w:lang w:val="en-US"/>
            </w:rPr>
            <w:t>....</w:t>
          </w:r>
          <w:r>
            <w:rPr>
              <w:b/>
              <w:color w:val="000000" w:themeColor="text1"/>
            </w:rPr>
            <w:t>...............21</w:t>
          </w:r>
        </w:p>
        <w:p w:rsidR="007A7374" w:rsidRDefault="007A7374" w:rsidP="007A7374">
          <w:pPr>
            <w:pStyle w:val="ListParagraph"/>
            <w:ind w:left="644" w:right="237"/>
            <w:rPr>
              <w:b/>
            </w:rPr>
          </w:pPr>
          <w:r w:rsidRPr="000D5478">
            <w:rPr>
              <w:b/>
              <w:i/>
            </w:rPr>
            <w:t>6.1 Македонска пошта</w:t>
          </w:r>
          <w:r>
            <w:rPr>
              <w:b/>
            </w:rPr>
            <w:t>..................................................................................</w:t>
          </w:r>
          <w:r>
            <w:rPr>
              <w:b/>
              <w:lang w:val="en-US"/>
            </w:rPr>
            <w:t>....</w:t>
          </w:r>
          <w:r>
            <w:rPr>
              <w:b/>
            </w:rPr>
            <w:t>............21</w:t>
          </w:r>
        </w:p>
        <w:p w:rsidR="007A7374" w:rsidRPr="000D5478" w:rsidRDefault="007A7374" w:rsidP="007A7374">
          <w:pPr>
            <w:pStyle w:val="ListParagraph"/>
            <w:numPr>
              <w:ilvl w:val="1"/>
              <w:numId w:val="9"/>
            </w:numPr>
            <w:ind w:left="993" w:right="237"/>
            <w:jc w:val="both"/>
          </w:pPr>
          <w:r w:rsidRPr="000D5478">
            <w:rPr>
              <w:b/>
              <w:i/>
            </w:rPr>
            <w:t>Даватели на поштенски услуги на слободниот поштенски пазар</w:t>
          </w:r>
          <w:r>
            <w:rPr>
              <w:b/>
            </w:rPr>
            <w:t>.....</w:t>
          </w:r>
          <w:r>
            <w:rPr>
              <w:b/>
              <w:lang w:val="en-US"/>
            </w:rPr>
            <w:t>....</w:t>
          </w:r>
          <w:r>
            <w:rPr>
              <w:b/>
            </w:rPr>
            <w:t>............23</w:t>
          </w:r>
        </w:p>
        <w:p w:rsidR="007A7374" w:rsidRDefault="007A7374" w:rsidP="007A7374">
          <w:pPr>
            <w:numPr>
              <w:ilvl w:val="0"/>
              <w:numId w:val="13"/>
            </w:numPr>
            <w:tabs>
              <w:tab w:val="left" w:pos="5940"/>
            </w:tabs>
            <w:ind w:right="237"/>
            <w:jc w:val="both"/>
            <w:rPr>
              <w:b/>
              <w:color w:val="000000" w:themeColor="text1"/>
            </w:rPr>
          </w:pPr>
          <w:r w:rsidRPr="00F4688F">
            <w:rPr>
              <w:b/>
              <w:color w:val="000000" w:themeColor="text1"/>
            </w:rPr>
            <w:t>Остварени приходи од о</w:t>
          </w:r>
          <w:r>
            <w:rPr>
              <w:b/>
              <w:color w:val="000000" w:themeColor="text1"/>
            </w:rPr>
            <w:t>безбедување на поштенски услуги.........................</w:t>
          </w:r>
          <w:r>
            <w:rPr>
              <w:b/>
              <w:color w:val="000000" w:themeColor="text1"/>
              <w:lang w:val="en-US"/>
            </w:rPr>
            <w:t>...</w:t>
          </w:r>
          <w:r>
            <w:rPr>
              <w:b/>
              <w:color w:val="000000" w:themeColor="text1"/>
            </w:rPr>
            <w:t>............24</w:t>
          </w:r>
        </w:p>
        <w:p w:rsidR="007A7374" w:rsidRDefault="007A7374" w:rsidP="007A7374">
          <w:pPr>
            <w:pStyle w:val="ListParagraph"/>
            <w:ind w:left="644" w:right="237"/>
            <w:rPr>
              <w:b/>
            </w:rPr>
          </w:pPr>
          <w:r w:rsidRPr="000D5478">
            <w:rPr>
              <w:b/>
              <w:i/>
            </w:rPr>
            <w:t>7.1 Вкупни приходи кај даватели на поштенските услуги  во 2013 година</w:t>
          </w:r>
          <w:r>
            <w:rPr>
              <w:b/>
            </w:rPr>
            <w:t>.....</w:t>
          </w:r>
          <w:r>
            <w:rPr>
              <w:b/>
              <w:lang w:val="en-US"/>
            </w:rPr>
            <w:t>...</w:t>
          </w:r>
          <w:r>
            <w:rPr>
              <w:b/>
            </w:rPr>
            <w:t>......24</w:t>
          </w:r>
        </w:p>
        <w:p w:rsidR="007A7374" w:rsidRPr="000D5478" w:rsidRDefault="007A7374" w:rsidP="007A7374">
          <w:pPr>
            <w:pStyle w:val="ListParagraph"/>
            <w:ind w:left="644" w:right="237"/>
            <w:rPr>
              <w:b/>
            </w:rPr>
          </w:pPr>
        </w:p>
        <w:p w:rsidR="007A7374" w:rsidRPr="006A5A13" w:rsidRDefault="007A7374" w:rsidP="007A7374">
          <w:pPr>
            <w:pStyle w:val="ListParagraph"/>
            <w:numPr>
              <w:ilvl w:val="0"/>
              <w:numId w:val="13"/>
            </w:numPr>
            <w:tabs>
              <w:tab w:val="left" w:pos="5940"/>
            </w:tabs>
            <w:ind w:right="237"/>
            <w:jc w:val="both"/>
            <w:rPr>
              <w:color w:val="000000" w:themeColor="text1"/>
            </w:rPr>
          </w:pPr>
          <w:r w:rsidRPr="006A5A13">
            <w:rPr>
              <w:b/>
              <w:color w:val="000000" w:themeColor="text1"/>
            </w:rPr>
            <w:t>Податоци за безбедност и рекламации за поштенски пратки</w:t>
          </w:r>
          <w:r>
            <w:rPr>
              <w:b/>
              <w:color w:val="000000" w:themeColor="text1"/>
            </w:rPr>
            <w:t>..........................</w:t>
          </w:r>
          <w:r>
            <w:rPr>
              <w:b/>
              <w:color w:val="000000" w:themeColor="text1"/>
              <w:lang w:val="en-US"/>
            </w:rPr>
            <w:t>..</w:t>
          </w:r>
          <w:r>
            <w:rPr>
              <w:b/>
              <w:color w:val="000000" w:themeColor="text1"/>
            </w:rPr>
            <w:t>.........26</w:t>
          </w:r>
        </w:p>
        <w:p w:rsidR="007A7374" w:rsidRDefault="00042A1B" w:rsidP="007A7374">
          <w:pPr>
            <w:ind w:right="237"/>
            <w:jc w:val="both"/>
          </w:pPr>
        </w:p>
      </w:sdtContent>
    </w:sdt>
    <w:p w:rsidR="007A7374" w:rsidRPr="007A7374" w:rsidRDefault="007A7374" w:rsidP="00166587">
      <w:pPr>
        <w:tabs>
          <w:tab w:val="left" w:pos="3669"/>
        </w:tabs>
        <w:rPr>
          <w:b/>
          <w:sz w:val="32"/>
          <w:szCs w:val="32"/>
          <w:lang w:val="en-US"/>
        </w:rPr>
      </w:pPr>
    </w:p>
    <w:p w:rsidR="00B97486" w:rsidRDefault="00B97486" w:rsidP="00166587">
      <w:pPr>
        <w:tabs>
          <w:tab w:val="left" w:pos="3669"/>
        </w:tabs>
        <w:rPr>
          <w:sz w:val="28"/>
          <w:szCs w:val="28"/>
        </w:rPr>
      </w:pPr>
    </w:p>
    <w:p w:rsidR="00B97486" w:rsidRPr="00B97486" w:rsidRDefault="00B97486" w:rsidP="00B97486">
      <w:pPr>
        <w:rPr>
          <w:sz w:val="28"/>
          <w:szCs w:val="28"/>
        </w:rPr>
      </w:pPr>
    </w:p>
    <w:p w:rsidR="00F77F65" w:rsidRDefault="00F77F65" w:rsidP="00F77F65">
      <w:pPr>
        <w:tabs>
          <w:tab w:val="left" w:pos="5940"/>
        </w:tabs>
        <w:ind w:right="237"/>
        <w:rPr>
          <w:sz w:val="28"/>
          <w:szCs w:val="28"/>
        </w:rPr>
      </w:pPr>
      <w:r w:rsidRPr="00A67C83">
        <w:rPr>
          <w:b/>
          <w:i/>
          <w:sz w:val="28"/>
          <w:szCs w:val="28"/>
          <w:u w:val="single"/>
        </w:rPr>
        <w:lastRenderedPageBreak/>
        <w:t xml:space="preserve">ВОВЕД </w:t>
      </w:r>
      <w:r w:rsidRPr="00A67C83">
        <w:rPr>
          <w:sz w:val="28"/>
          <w:szCs w:val="28"/>
        </w:rPr>
        <w:t xml:space="preserve"> </w:t>
      </w:r>
    </w:p>
    <w:p w:rsidR="00F77F65" w:rsidRDefault="00F77F65" w:rsidP="00F77F65">
      <w:pPr>
        <w:tabs>
          <w:tab w:val="left" w:pos="3045"/>
        </w:tabs>
        <w:ind w:left="360" w:right="237"/>
        <w:rPr>
          <w:sz w:val="28"/>
          <w:szCs w:val="28"/>
        </w:rPr>
      </w:pPr>
      <w:r>
        <w:rPr>
          <w:sz w:val="28"/>
          <w:szCs w:val="28"/>
        </w:rPr>
        <w:tab/>
      </w:r>
    </w:p>
    <w:p w:rsidR="00F77F65" w:rsidRPr="009D34BD" w:rsidRDefault="00F77F65" w:rsidP="004A33C5">
      <w:pPr>
        <w:tabs>
          <w:tab w:val="left" w:pos="5940"/>
        </w:tabs>
        <w:ind w:right="237"/>
        <w:jc w:val="both"/>
        <w:rPr>
          <w:sz w:val="24"/>
          <w:szCs w:val="24"/>
        </w:rPr>
      </w:pPr>
      <w:r w:rsidRPr="009D34BD">
        <w:rPr>
          <w:i/>
          <w:sz w:val="24"/>
          <w:szCs w:val="24"/>
        </w:rPr>
        <w:t>Агенцијата за пошти на Република Македонија претставува независно регулаторно тело во областа на поштенските услуги, која е основана како самостојно и непрофитно правно лице и врши јавни овластувања утврдени со Законот за поштенските услуги (Службен весник на Република Македонија бр.9 од 18.01.2008). Агенцијата за пошти започна со работа на 15 јули 2008 година со седиште во Скопје.</w:t>
      </w:r>
    </w:p>
    <w:p w:rsidR="00F77F65" w:rsidRPr="00A77A96" w:rsidRDefault="00F77F65" w:rsidP="004A33C5">
      <w:pPr>
        <w:tabs>
          <w:tab w:val="left" w:pos="5940"/>
        </w:tabs>
        <w:ind w:right="237"/>
        <w:jc w:val="both"/>
        <w:rPr>
          <w:i/>
          <w:sz w:val="24"/>
          <w:szCs w:val="24"/>
        </w:rPr>
      </w:pPr>
      <w:r w:rsidRPr="00A77A96">
        <w:rPr>
          <w:i/>
          <w:sz w:val="24"/>
          <w:szCs w:val="24"/>
        </w:rPr>
        <w:t>Со отпочнување на процесот на либерализација и со појавата на првите приватни даватели, односно со зголемување на конкуренцијата на пазарот се појави потреба и од регулирање на пазарот. Законскиот основ за регулирање на пазарот на поштенските услуги на Агенцијата е даден со Законот за поштенските услуги (Службен весник на РМ бр. 9/08, 158/10). Основната надлежност на Агенцијата за пошти е овозможување конкуренција во областа на поштенските услуги според објективни, транспарентни и недискриминаторни услови, на постепен и контролиран начин со цел да се обезбеди обезбедувањето на универзалната услуга</w:t>
      </w:r>
      <w:r>
        <w:rPr>
          <w:i/>
          <w:sz w:val="24"/>
          <w:szCs w:val="24"/>
        </w:rPr>
        <w:t>.</w:t>
      </w:r>
    </w:p>
    <w:p w:rsidR="00F77F65" w:rsidRDefault="00F77F65" w:rsidP="004A33C5">
      <w:pPr>
        <w:tabs>
          <w:tab w:val="left" w:pos="5940"/>
        </w:tabs>
        <w:ind w:right="237"/>
        <w:jc w:val="both"/>
        <w:rPr>
          <w:i/>
          <w:lang w:val="en-US"/>
        </w:rPr>
      </w:pPr>
      <w:r w:rsidRPr="00367833">
        <w:rPr>
          <w:i/>
        </w:rPr>
        <w:t xml:space="preserve">Во функција на извршување на својата надлежност од член 25 од Законот за поштенските услуги, Агенцијата изготви прашалник со цел изготвување анализа на пазарот на поштенските услуги во Република Македонија. </w:t>
      </w:r>
    </w:p>
    <w:p w:rsidR="00F77F65" w:rsidRPr="002F3EBB" w:rsidRDefault="00F77F65" w:rsidP="004A33C5">
      <w:pPr>
        <w:tabs>
          <w:tab w:val="left" w:pos="5940"/>
        </w:tabs>
        <w:ind w:right="237"/>
        <w:jc w:val="both"/>
        <w:rPr>
          <w:i/>
          <w:lang w:val="en-US"/>
        </w:rPr>
      </w:pPr>
    </w:p>
    <w:p w:rsidR="00F77F65" w:rsidRPr="00F77F65" w:rsidRDefault="00F77F65" w:rsidP="004A33C5">
      <w:pPr>
        <w:numPr>
          <w:ilvl w:val="0"/>
          <w:numId w:val="1"/>
        </w:numPr>
        <w:tabs>
          <w:tab w:val="left" w:pos="5940"/>
        </w:tabs>
        <w:ind w:right="237"/>
        <w:jc w:val="both"/>
        <w:rPr>
          <w:b/>
          <w:i/>
          <w:sz w:val="24"/>
          <w:szCs w:val="24"/>
          <w:u w:val="single"/>
        </w:rPr>
      </w:pPr>
      <w:r w:rsidRPr="005B18D3">
        <w:rPr>
          <w:b/>
          <w:i/>
          <w:sz w:val="24"/>
          <w:szCs w:val="24"/>
          <w:u w:val="single"/>
        </w:rPr>
        <w:t xml:space="preserve">Даватели на поштенски услуги </w:t>
      </w:r>
    </w:p>
    <w:p w:rsidR="00F77F65" w:rsidRPr="005B18D3" w:rsidRDefault="00F77F65" w:rsidP="004A33C5">
      <w:pPr>
        <w:tabs>
          <w:tab w:val="left" w:pos="5940"/>
        </w:tabs>
        <w:ind w:left="360" w:right="237"/>
        <w:jc w:val="both"/>
        <w:rPr>
          <w:b/>
          <w:i/>
          <w:sz w:val="24"/>
          <w:szCs w:val="24"/>
          <w:u w:val="single"/>
        </w:rPr>
      </w:pPr>
    </w:p>
    <w:p w:rsidR="00F77F65" w:rsidRDefault="00F77F65" w:rsidP="004A33C5">
      <w:pPr>
        <w:tabs>
          <w:tab w:val="left" w:pos="5940"/>
        </w:tabs>
        <w:ind w:right="237"/>
        <w:jc w:val="both"/>
        <w:rPr>
          <w:sz w:val="24"/>
          <w:szCs w:val="24"/>
        </w:rPr>
      </w:pPr>
      <w:r w:rsidRPr="005B18D3">
        <w:rPr>
          <w:sz w:val="24"/>
          <w:szCs w:val="24"/>
          <w:lang w:val="en-US"/>
        </w:rPr>
        <w:t xml:space="preserve">              </w:t>
      </w:r>
      <w:r w:rsidRPr="005B18D3">
        <w:rPr>
          <w:sz w:val="24"/>
          <w:szCs w:val="24"/>
        </w:rPr>
        <w:t xml:space="preserve"> </w:t>
      </w:r>
      <w:r w:rsidRPr="005B18D3">
        <w:rPr>
          <w:sz w:val="24"/>
          <w:szCs w:val="24"/>
          <w:lang w:val="en-US"/>
        </w:rPr>
        <w:t xml:space="preserve"> </w:t>
      </w:r>
      <w:r w:rsidRPr="005B18D3">
        <w:rPr>
          <w:sz w:val="24"/>
          <w:szCs w:val="24"/>
        </w:rPr>
        <w:t>Со Законот за поштенските услуги е дефинирано давателот на универзалната услуга да има ексклузивно право да ја обезбедува резервираната услуга со тежина до 50 грама до 31 декември 2016 година.</w:t>
      </w:r>
    </w:p>
    <w:p w:rsidR="00BE20C5" w:rsidRPr="005B18D3" w:rsidRDefault="00BE20C5" w:rsidP="004A33C5">
      <w:pPr>
        <w:tabs>
          <w:tab w:val="left" w:pos="5940"/>
        </w:tabs>
        <w:ind w:right="237"/>
        <w:jc w:val="both"/>
        <w:rPr>
          <w:sz w:val="24"/>
          <w:szCs w:val="24"/>
          <w:lang w:val="en-US"/>
        </w:rPr>
      </w:pPr>
    </w:p>
    <w:p w:rsidR="00BE20C5" w:rsidRDefault="00F77F65" w:rsidP="004A33C5">
      <w:pPr>
        <w:pStyle w:val="ListParagraph"/>
        <w:numPr>
          <w:ilvl w:val="1"/>
          <w:numId w:val="17"/>
        </w:numPr>
        <w:tabs>
          <w:tab w:val="left" w:pos="5940"/>
        </w:tabs>
        <w:ind w:right="237"/>
        <w:jc w:val="both"/>
        <w:rPr>
          <w:b/>
          <w:i/>
          <w:sz w:val="24"/>
          <w:szCs w:val="24"/>
        </w:rPr>
      </w:pPr>
      <w:r w:rsidRPr="005B18D3">
        <w:rPr>
          <w:b/>
          <w:i/>
          <w:sz w:val="24"/>
          <w:szCs w:val="24"/>
        </w:rPr>
        <w:t>Давател на универзална услуга</w:t>
      </w:r>
    </w:p>
    <w:p w:rsidR="00BE20C5" w:rsidRPr="00BE20C5" w:rsidRDefault="00BE20C5" w:rsidP="004A33C5">
      <w:pPr>
        <w:pStyle w:val="ListParagraph"/>
        <w:tabs>
          <w:tab w:val="left" w:pos="5940"/>
        </w:tabs>
        <w:ind w:right="237"/>
        <w:jc w:val="both"/>
        <w:rPr>
          <w:b/>
          <w:i/>
          <w:sz w:val="24"/>
          <w:szCs w:val="24"/>
        </w:rPr>
      </w:pPr>
    </w:p>
    <w:p w:rsidR="00F77F65" w:rsidRPr="005B18D3" w:rsidRDefault="00EA2CA2" w:rsidP="00EA2CA2">
      <w:pPr>
        <w:tabs>
          <w:tab w:val="left" w:pos="5940"/>
        </w:tabs>
        <w:ind w:right="237" w:firstLine="851"/>
        <w:jc w:val="both"/>
        <w:rPr>
          <w:sz w:val="24"/>
          <w:szCs w:val="24"/>
        </w:rPr>
      </w:pPr>
      <w:r w:rsidRPr="005B18D3">
        <w:rPr>
          <w:sz w:val="24"/>
          <w:szCs w:val="24"/>
        </w:rPr>
        <w:t xml:space="preserve">Универзалната услуга со закон е дефинирана како услуга од јавен интерес која треба да се обезбедува по пристапни цени за сите корисници на целата територија на Република Македонија. </w:t>
      </w:r>
      <w:r w:rsidR="00F77F65" w:rsidRPr="005B18D3">
        <w:rPr>
          <w:sz w:val="24"/>
          <w:szCs w:val="24"/>
        </w:rPr>
        <w:t xml:space="preserve">Акционерското друштво за поштенски сообраќај „Македонска пошта“ во државна сопственост е давател на универзалната услуга во Република Македонија врз основа на Индивидуална дозвола издадена од страна на Агенцијата. Врз основа на индивидуалната дозвола давателот на универзалната услуга се стекнува и со правото за обезбедување на резервираната услуга до 50 грама. </w:t>
      </w:r>
    </w:p>
    <w:p w:rsidR="00F77F65" w:rsidRPr="005B18D3" w:rsidRDefault="00F77F65" w:rsidP="00F77F65">
      <w:pPr>
        <w:tabs>
          <w:tab w:val="left" w:pos="5940"/>
        </w:tabs>
        <w:spacing w:after="0" w:line="360" w:lineRule="auto"/>
        <w:ind w:right="238"/>
        <w:jc w:val="both"/>
        <w:rPr>
          <w:sz w:val="24"/>
          <w:szCs w:val="24"/>
        </w:rPr>
      </w:pPr>
      <w:r w:rsidRPr="005B18D3">
        <w:rPr>
          <w:sz w:val="24"/>
          <w:szCs w:val="24"/>
        </w:rPr>
        <w:lastRenderedPageBreak/>
        <w:t>Во Извештајот Акционерското друштво за поштенски сообраќај „Македонска пошта“ во државна сопственост се наведува под името Македонска пошта.</w:t>
      </w:r>
    </w:p>
    <w:p w:rsidR="00F77F65" w:rsidRPr="005B18D3" w:rsidRDefault="00F77F65" w:rsidP="00F77F65">
      <w:pPr>
        <w:tabs>
          <w:tab w:val="left" w:pos="5940"/>
        </w:tabs>
        <w:spacing w:after="0" w:line="360" w:lineRule="auto"/>
        <w:ind w:right="238"/>
        <w:jc w:val="both"/>
        <w:rPr>
          <w:sz w:val="24"/>
          <w:szCs w:val="24"/>
        </w:rPr>
      </w:pPr>
    </w:p>
    <w:p w:rsidR="00F77F65" w:rsidRPr="005B18D3" w:rsidRDefault="00F77F65" w:rsidP="00F77F65">
      <w:pPr>
        <w:pStyle w:val="ListParagraph"/>
        <w:numPr>
          <w:ilvl w:val="1"/>
          <w:numId w:val="17"/>
        </w:numPr>
        <w:tabs>
          <w:tab w:val="left" w:pos="5940"/>
        </w:tabs>
        <w:spacing w:after="0" w:line="360" w:lineRule="auto"/>
        <w:ind w:right="238"/>
        <w:jc w:val="both"/>
        <w:rPr>
          <w:b/>
          <w:i/>
          <w:sz w:val="24"/>
          <w:szCs w:val="24"/>
        </w:rPr>
      </w:pPr>
      <w:r w:rsidRPr="005B18D3">
        <w:rPr>
          <w:b/>
          <w:i/>
          <w:sz w:val="24"/>
          <w:szCs w:val="24"/>
        </w:rPr>
        <w:t>Даватели на поштенски услуги на слободниот поштенски пазар</w:t>
      </w:r>
    </w:p>
    <w:p w:rsidR="00F77F65" w:rsidRPr="005B18D3" w:rsidRDefault="00F77F65" w:rsidP="00F77F65">
      <w:pPr>
        <w:pStyle w:val="ListParagraph"/>
        <w:tabs>
          <w:tab w:val="left" w:pos="5940"/>
        </w:tabs>
        <w:ind w:right="237"/>
        <w:jc w:val="both"/>
        <w:rPr>
          <w:b/>
          <w:i/>
          <w:sz w:val="24"/>
          <w:szCs w:val="24"/>
        </w:rPr>
      </w:pPr>
    </w:p>
    <w:p w:rsidR="00F77F65" w:rsidRPr="005B18D3" w:rsidRDefault="00F77F65" w:rsidP="00BE20C5">
      <w:pPr>
        <w:autoSpaceDE w:val="0"/>
        <w:autoSpaceDN w:val="0"/>
        <w:adjustRightInd w:val="0"/>
        <w:spacing w:after="0" w:line="360" w:lineRule="auto"/>
        <w:ind w:right="237" w:firstLine="851"/>
        <w:jc w:val="both"/>
        <w:rPr>
          <w:rFonts w:ascii="Calibri" w:hAnsi="Calibri" w:cs="Calibri"/>
          <w:sz w:val="24"/>
          <w:szCs w:val="24"/>
        </w:rPr>
      </w:pPr>
      <w:r w:rsidRPr="005B18D3">
        <w:rPr>
          <w:rFonts w:ascii="Calibri" w:hAnsi="Calibri" w:cs="Calibri"/>
          <w:sz w:val="24"/>
          <w:szCs w:val="24"/>
        </w:rPr>
        <w:t>Со Законот за поштенските услуги се создадени услови поштенските услуги да се обезбедуваат од страна на секое заинтересирано правно и</w:t>
      </w:r>
      <w:r w:rsidR="00994324">
        <w:rPr>
          <w:rFonts w:ascii="Calibri" w:hAnsi="Calibri" w:cs="Calibri"/>
          <w:sz w:val="24"/>
          <w:szCs w:val="24"/>
          <w:lang w:val="en-US"/>
        </w:rPr>
        <w:t xml:space="preserve"> </w:t>
      </w:r>
      <w:r w:rsidRPr="005B18D3">
        <w:rPr>
          <w:rFonts w:ascii="Calibri" w:hAnsi="Calibri" w:cs="Calibri"/>
          <w:sz w:val="24"/>
          <w:szCs w:val="24"/>
        </w:rPr>
        <w:t>ли физичко лице кое ќе достави нотификација до Агенцијата, а кое ги исполнува минималните услови предвидени со законската регулатива. Врз основа на нотификацијата Агенцијата издава општо овластување во кое се наведени правата и обврските со кое се стекнува давателот на поштенските услуги.</w:t>
      </w:r>
    </w:p>
    <w:p w:rsidR="00F77F65" w:rsidRDefault="00F77F65" w:rsidP="00F77F65">
      <w:pPr>
        <w:autoSpaceDE w:val="0"/>
        <w:autoSpaceDN w:val="0"/>
        <w:adjustRightInd w:val="0"/>
        <w:spacing w:after="0" w:line="360" w:lineRule="auto"/>
        <w:ind w:right="237"/>
        <w:jc w:val="both"/>
        <w:rPr>
          <w:color w:val="FF0000"/>
          <w:sz w:val="24"/>
          <w:szCs w:val="24"/>
        </w:rPr>
      </w:pPr>
      <w:r w:rsidRPr="005B18D3">
        <w:rPr>
          <w:sz w:val="24"/>
          <w:szCs w:val="24"/>
        </w:rPr>
        <w:t xml:space="preserve"> Бројот на давателите на слободниот поштенски пазар постојано се менува и зголемува во однос на првите почетоци кога беа издадени и првите одобренија за обезбедување на пошт</w:t>
      </w:r>
      <w:r>
        <w:rPr>
          <w:sz w:val="24"/>
          <w:szCs w:val="24"/>
        </w:rPr>
        <w:t>енските услуги. Заклучно со 201</w:t>
      </w:r>
      <w:r>
        <w:rPr>
          <w:sz w:val="24"/>
          <w:szCs w:val="24"/>
          <w:lang w:val="en-US"/>
        </w:rPr>
        <w:t>4</w:t>
      </w:r>
      <w:r w:rsidRPr="005B18D3">
        <w:rPr>
          <w:sz w:val="24"/>
          <w:szCs w:val="24"/>
        </w:rPr>
        <w:t xml:space="preserve"> година на пазарот на поштенските услуги работат вкупно </w:t>
      </w:r>
      <w:r w:rsidR="00BE20C5">
        <w:rPr>
          <w:sz w:val="24"/>
          <w:szCs w:val="24"/>
          <w:lang w:val="en-US"/>
        </w:rPr>
        <w:t>2</w:t>
      </w:r>
      <w:r w:rsidR="00BE20C5">
        <w:rPr>
          <w:sz w:val="24"/>
          <w:szCs w:val="24"/>
        </w:rPr>
        <w:t>3</w:t>
      </w:r>
      <w:r w:rsidRPr="005B18D3">
        <w:rPr>
          <w:sz w:val="24"/>
          <w:szCs w:val="24"/>
        </w:rPr>
        <w:t xml:space="preserve"> даватели на поштенски услуги.</w:t>
      </w:r>
    </w:p>
    <w:p w:rsidR="00F77F65" w:rsidRPr="00340FD0" w:rsidRDefault="00F77F65" w:rsidP="00F77F65">
      <w:pPr>
        <w:autoSpaceDE w:val="0"/>
        <w:autoSpaceDN w:val="0"/>
        <w:adjustRightInd w:val="0"/>
        <w:spacing w:after="0" w:line="360" w:lineRule="auto"/>
        <w:ind w:right="237"/>
        <w:jc w:val="both"/>
        <w:rPr>
          <w:color w:val="FF0000"/>
          <w:sz w:val="24"/>
          <w:szCs w:val="24"/>
        </w:rPr>
      </w:pPr>
    </w:p>
    <w:tbl>
      <w:tblPr>
        <w:tblStyle w:val="TableGrid"/>
        <w:tblW w:w="93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ДХЛ Експрес Македонија ДООЕЛ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hideMark/>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ТНТ ЕКСПРЕС МАКЕДОНИЈА ДООЕЛ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ИН ТИМЕ МК БПС ДОО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СПИДИ ДИЛИВЕРИ ДОО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Глобко логистик ДОО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Карго Експрес ДООЕЛ увоз извоз Битола</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hideMark/>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РСЕ ОПТИМА Вите ДООЕЛ увоз-извоз Скопје</w:t>
            </w:r>
          </w:p>
          <w:p w:rsidR="00F77F65" w:rsidRPr="00BE20C5" w:rsidRDefault="00F77F65" w:rsidP="00F77F65">
            <w:pPr>
              <w:ind w:left="720" w:right="237"/>
              <w:jc w:val="right"/>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ДРД КУРИР ДООЕЛ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СКОПЈЕ ВЕЛОСИПЕДИСТ</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ДЕЛИВЕРИМЕН ДОО увоз-извоз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rPr>
              <w:t>ВИЗАРД ДЕЛИВЕРИ ДОО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contextualSpacing/>
              <w:rPr>
                <w:rFonts w:ascii="Calibri" w:eastAsia="Calibri" w:hAnsi="Calibri" w:cs="Times New Roman"/>
                <w:i/>
              </w:rPr>
            </w:pPr>
            <w:r w:rsidRPr="00BE20C5">
              <w:rPr>
                <w:rFonts w:ascii="Calibri" w:eastAsia="Calibri" w:hAnsi="Calibri" w:cs="Times New Roman"/>
                <w:i/>
              </w:rPr>
              <w:t xml:space="preserve">ЈОКАМ пошта 2011 ДООЕЛ </w:t>
            </w:r>
          </w:p>
          <w:p w:rsidR="00F77F65" w:rsidRPr="00BE20C5" w:rsidRDefault="00F77F65" w:rsidP="00F77F65">
            <w:pPr>
              <w:ind w:left="720" w:right="237"/>
              <w:contextualSpacing/>
              <w:rPr>
                <w:rFonts w:ascii="Calibri" w:eastAsia="Calibri" w:hAnsi="Calibri" w:cs="Times New Roman"/>
                <w:i/>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rPr>
                <w:rFonts w:ascii="Calibri" w:eastAsia="Calibri" w:hAnsi="Calibri" w:cs="Times New Roman"/>
                <w:i/>
                <w:lang w:val="en-US"/>
              </w:rPr>
            </w:pPr>
            <w:r w:rsidRPr="00BE20C5">
              <w:rPr>
                <w:rFonts w:ascii="Calibri" w:eastAsia="Calibri" w:hAnsi="Calibri" w:cs="Times New Roman"/>
                <w:i/>
                <w:lang w:val="en-US"/>
              </w:rPr>
              <w:t>Брза пратка ДООЕЛ Скопје</w:t>
            </w:r>
          </w:p>
          <w:p w:rsidR="00F77F65" w:rsidRPr="00BE20C5" w:rsidRDefault="00F77F65" w:rsidP="00F77F65">
            <w:pPr>
              <w:ind w:left="720" w:right="237"/>
              <w:rPr>
                <w:rFonts w:ascii="Calibri" w:eastAsia="Calibri" w:hAnsi="Calibri" w:cs="Times New Roman"/>
                <w:i/>
                <w:lang w:val="en-US"/>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contextualSpacing/>
              <w:rPr>
                <w:rFonts w:ascii="Calibri" w:eastAsia="Calibri" w:hAnsi="Calibri" w:cs="Times New Roman"/>
                <w:i/>
              </w:rPr>
            </w:pPr>
            <w:r w:rsidRPr="00BE20C5">
              <w:rPr>
                <w:rFonts w:ascii="Calibri" w:eastAsia="Calibri" w:hAnsi="Calibri" w:cs="Times New Roman"/>
                <w:i/>
              </w:rPr>
              <w:lastRenderedPageBreak/>
              <w:t>ДелЦо ДООЕЛ Скопје</w:t>
            </w:r>
          </w:p>
          <w:p w:rsidR="00F77F65" w:rsidRPr="00BE20C5" w:rsidRDefault="00F77F65" w:rsidP="00F77F65">
            <w:pPr>
              <w:ind w:left="720" w:right="237"/>
              <w:contextualSpacing/>
              <w:rPr>
                <w:rFonts w:ascii="Calibri" w:eastAsia="Calibri" w:hAnsi="Calibri" w:cs="Times New Roman"/>
                <w:i/>
              </w:rPr>
            </w:pPr>
          </w:p>
        </w:tc>
      </w:tr>
      <w:tr w:rsidR="00F77F65" w:rsidRPr="00946FDD" w:rsidTr="00F77F65">
        <w:trPr>
          <w:jc w:val="right"/>
        </w:trPr>
        <w:tc>
          <w:tcPr>
            <w:tcW w:w="4801" w:type="dxa"/>
            <w:vAlign w:val="center"/>
          </w:tcPr>
          <w:p w:rsidR="00F77F65" w:rsidRPr="00BE20C5" w:rsidRDefault="00F77F65" w:rsidP="00F77F65">
            <w:pPr>
              <w:numPr>
                <w:ilvl w:val="0"/>
                <w:numId w:val="18"/>
              </w:numPr>
              <w:ind w:right="237"/>
              <w:contextualSpacing/>
              <w:rPr>
                <w:rFonts w:ascii="Calibri" w:eastAsia="Calibri" w:hAnsi="Calibri" w:cs="Times New Roman"/>
                <w:i/>
              </w:rPr>
            </w:pPr>
            <w:r w:rsidRPr="00BE20C5">
              <w:rPr>
                <w:rFonts w:ascii="Calibri" w:eastAsia="Calibri" w:hAnsi="Calibri" w:cs="Times New Roman"/>
                <w:i/>
              </w:rPr>
              <w:t>МЕРЏАНОСКИ ТП – Тетово</w:t>
            </w:r>
          </w:p>
          <w:p w:rsidR="00F77F65" w:rsidRPr="00BE20C5" w:rsidRDefault="00F77F65" w:rsidP="00F77F65">
            <w:pPr>
              <w:ind w:left="720" w:right="237"/>
              <w:contextualSpacing/>
              <w:rPr>
                <w:rFonts w:ascii="Calibri" w:eastAsia="Calibri" w:hAnsi="Calibri" w:cs="Times New Roman"/>
                <w:i/>
              </w:rPr>
            </w:pPr>
          </w:p>
        </w:tc>
      </w:tr>
      <w:tr w:rsidR="00F77F65" w:rsidRPr="00946FDD" w:rsidTr="00F77F65">
        <w:trPr>
          <w:jc w:val="right"/>
        </w:trPr>
        <w:tc>
          <w:tcPr>
            <w:tcW w:w="4801" w:type="dxa"/>
            <w:vAlign w:val="center"/>
          </w:tcPr>
          <w:p w:rsidR="00F77F65" w:rsidRPr="00BE20C5" w:rsidRDefault="00F77F65" w:rsidP="00F77F65">
            <w:pPr>
              <w:pStyle w:val="ListParagraph"/>
              <w:numPr>
                <w:ilvl w:val="0"/>
                <w:numId w:val="18"/>
              </w:numPr>
              <w:ind w:right="237"/>
              <w:rPr>
                <w:i/>
              </w:rPr>
            </w:pPr>
            <w:r w:rsidRPr="00BE20C5">
              <w:rPr>
                <w:i/>
              </w:rPr>
              <w:t>ДМ-Компани увоз-извоз ДООЕЛ Прилеп</w:t>
            </w:r>
          </w:p>
          <w:p w:rsidR="00F77F65" w:rsidRPr="00BE20C5" w:rsidRDefault="00F77F65" w:rsidP="00F77F65">
            <w:pPr>
              <w:pStyle w:val="ListParagraph"/>
              <w:ind w:right="237"/>
              <w:rPr>
                <w:i/>
              </w:rPr>
            </w:pPr>
          </w:p>
        </w:tc>
      </w:tr>
      <w:tr w:rsidR="00F77F65" w:rsidRPr="00946FDD" w:rsidTr="00F77F65">
        <w:trPr>
          <w:jc w:val="right"/>
        </w:trPr>
        <w:tc>
          <w:tcPr>
            <w:tcW w:w="4801" w:type="dxa"/>
            <w:vAlign w:val="center"/>
          </w:tcPr>
          <w:p w:rsidR="00F77F65" w:rsidRPr="00BE20C5" w:rsidRDefault="00F77F65" w:rsidP="00F77F65">
            <w:pPr>
              <w:pStyle w:val="ListParagraph"/>
              <w:numPr>
                <w:ilvl w:val="0"/>
                <w:numId w:val="18"/>
              </w:numPr>
              <w:ind w:right="237"/>
              <w:rPr>
                <w:rFonts w:eastAsia="Calibri" w:cs="Times New Roman"/>
                <w:i/>
              </w:rPr>
            </w:pPr>
            <w:r w:rsidRPr="00BE20C5">
              <w:rPr>
                <w:rFonts w:eastAsia="Calibri" w:cs="Times New Roman"/>
                <w:i/>
              </w:rPr>
              <w:t>ГЛОБАЛ МЕССАГЕ СКОПЈЕ</w:t>
            </w:r>
            <w:r w:rsidRPr="00BE20C5">
              <w:rPr>
                <w:rFonts w:eastAsia="Calibri" w:cs="Times New Roman"/>
                <w:i/>
              </w:rPr>
              <w:tab/>
            </w:r>
          </w:p>
          <w:p w:rsidR="00F77F65" w:rsidRPr="00BE20C5" w:rsidRDefault="00F77F65" w:rsidP="00F77F65">
            <w:pPr>
              <w:pStyle w:val="ListParagraph"/>
              <w:ind w:right="237"/>
              <w:rPr>
                <w:rFonts w:eastAsia="Calibri" w:cs="Times New Roman"/>
                <w:i/>
              </w:rPr>
            </w:pPr>
          </w:p>
        </w:tc>
      </w:tr>
      <w:tr w:rsidR="00F77F65" w:rsidRPr="00946FDD" w:rsidTr="00F77F65">
        <w:trPr>
          <w:jc w:val="right"/>
        </w:trPr>
        <w:tc>
          <w:tcPr>
            <w:tcW w:w="4801" w:type="dxa"/>
            <w:vAlign w:val="center"/>
            <w:hideMark/>
          </w:tcPr>
          <w:p w:rsidR="00F77F65" w:rsidRPr="00BE20C5" w:rsidRDefault="00F77F65" w:rsidP="00F77F65">
            <w:pPr>
              <w:pStyle w:val="ListParagraph"/>
              <w:numPr>
                <w:ilvl w:val="0"/>
                <w:numId w:val="18"/>
              </w:numPr>
              <w:ind w:right="237"/>
              <w:rPr>
                <w:rFonts w:eastAsia="Calibri" w:cs="Times New Roman"/>
                <w:i/>
              </w:rPr>
            </w:pPr>
            <w:r w:rsidRPr="00BE20C5">
              <w:rPr>
                <w:rFonts w:eastAsia="Calibri" w:cs="Times New Roman"/>
                <w:i/>
              </w:rPr>
              <w:t>ИН ТАКСИ ДОО - Подружница 6 ИН ПОШТА</w:t>
            </w:r>
          </w:p>
          <w:p w:rsidR="00F77F65" w:rsidRPr="00BE20C5" w:rsidRDefault="00F77F65" w:rsidP="00F77F65">
            <w:pPr>
              <w:pStyle w:val="ListParagraph"/>
              <w:ind w:right="237"/>
              <w:rPr>
                <w:rFonts w:eastAsia="Calibri" w:cs="Times New Roman"/>
                <w:i/>
              </w:rPr>
            </w:pPr>
          </w:p>
          <w:p w:rsidR="00F77F65" w:rsidRPr="00BE20C5" w:rsidRDefault="00F77F65" w:rsidP="00F77F65">
            <w:pPr>
              <w:pStyle w:val="ListParagraph"/>
              <w:numPr>
                <w:ilvl w:val="0"/>
                <w:numId w:val="18"/>
              </w:numPr>
              <w:ind w:right="237"/>
              <w:rPr>
                <w:rFonts w:eastAsia="Calibri" w:cs="Times New Roman"/>
                <w:i/>
              </w:rPr>
            </w:pPr>
            <w:r w:rsidRPr="00BE20C5">
              <w:rPr>
                <w:rFonts w:eastAsia="Calibri" w:cs="Times New Roman"/>
                <w:i/>
              </w:rPr>
              <w:t xml:space="preserve">Прологис </w:t>
            </w:r>
            <w:r w:rsidR="00115D9B" w:rsidRPr="00BE20C5">
              <w:rPr>
                <w:rFonts w:eastAsia="Calibri" w:cs="Times New Roman"/>
                <w:i/>
              </w:rPr>
              <w:t xml:space="preserve"> сервис  ДООЕЛ</w:t>
            </w:r>
          </w:p>
          <w:p w:rsidR="00F96EA4" w:rsidRPr="00BE20C5" w:rsidRDefault="00F96EA4" w:rsidP="00F96EA4">
            <w:pPr>
              <w:pStyle w:val="ListParagraph"/>
              <w:rPr>
                <w:rFonts w:eastAsia="Calibri" w:cs="Times New Roman"/>
                <w:i/>
              </w:rPr>
            </w:pPr>
          </w:p>
          <w:p w:rsidR="00F96EA4" w:rsidRPr="00BE20C5" w:rsidRDefault="00F96EA4" w:rsidP="00F77F65">
            <w:pPr>
              <w:pStyle w:val="ListParagraph"/>
              <w:numPr>
                <w:ilvl w:val="0"/>
                <w:numId w:val="18"/>
              </w:numPr>
              <w:ind w:right="237"/>
              <w:rPr>
                <w:rFonts w:eastAsia="Calibri" w:cs="Times New Roman"/>
                <w:i/>
              </w:rPr>
            </w:pPr>
            <w:r w:rsidRPr="00BE20C5">
              <w:rPr>
                <w:rFonts w:eastAsia="Calibri" w:cs="Times New Roman"/>
                <w:i/>
              </w:rPr>
              <w:t>Екстра 03 ДООЕЛ</w:t>
            </w:r>
          </w:p>
          <w:p w:rsidR="00F96EA4" w:rsidRPr="00BE20C5" w:rsidRDefault="00F96EA4" w:rsidP="00F96EA4">
            <w:pPr>
              <w:pStyle w:val="ListParagraph"/>
              <w:rPr>
                <w:rFonts w:eastAsia="Calibri" w:cs="Times New Roman"/>
                <w:i/>
              </w:rPr>
            </w:pPr>
          </w:p>
          <w:p w:rsidR="00F96EA4" w:rsidRPr="00BE20C5" w:rsidRDefault="00F96EA4" w:rsidP="00F96EA4">
            <w:pPr>
              <w:pStyle w:val="ListParagraph"/>
              <w:numPr>
                <w:ilvl w:val="0"/>
                <w:numId w:val="18"/>
              </w:numPr>
              <w:ind w:right="237"/>
              <w:rPr>
                <w:rFonts w:eastAsia="Calibri" w:cs="Times New Roman"/>
                <w:i/>
              </w:rPr>
            </w:pPr>
            <w:r w:rsidRPr="00BE20C5">
              <w:rPr>
                <w:rFonts w:eastAsia="Calibri" w:cs="Times New Roman"/>
                <w:i/>
              </w:rPr>
              <w:t>Казабланка Џокер ДООЕЛ</w:t>
            </w:r>
          </w:p>
          <w:p w:rsidR="00F96EA4" w:rsidRPr="00BE20C5" w:rsidRDefault="00F96EA4" w:rsidP="00F96EA4">
            <w:pPr>
              <w:pStyle w:val="ListParagraph"/>
              <w:rPr>
                <w:rFonts w:eastAsia="Calibri" w:cs="Times New Roman"/>
                <w:i/>
              </w:rPr>
            </w:pPr>
          </w:p>
          <w:p w:rsidR="00F96EA4" w:rsidRPr="00BE20C5" w:rsidRDefault="00F96EA4" w:rsidP="00F96EA4">
            <w:pPr>
              <w:pStyle w:val="ListParagraph"/>
              <w:numPr>
                <w:ilvl w:val="0"/>
                <w:numId w:val="18"/>
              </w:numPr>
              <w:ind w:right="237"/>
              <w:rPr>
                <w:rFonts w:eastAsia="Calibri" w:cs="Times New Roman"/>
                <w:i/>
              </w:rPr>
            </w:pPr>
            <w:r w:rsidRPr="00BE20C5">
              <w:rPr>
                <w:rFonts w:eastAsia="Calibri" w:cs="Times New Roman"/>
                <w:i/>
              </w:rPr>
              <w:t>Деливери Филип ДООЕЛ</w:t>
            </w:r>
          </w:p>
          <w:p w:rsidR="00BE20C5" w:rsidRPr="00BE20C5" w:rsidRDefault="00BE20C5" w:rsidP="00BE20C5">
            <w:pPr>
              <w:pStyle w:val="ListParagraph"/>
              <w:rPr>
                <w:rFonts w:eastAsia="Calibri" w:cs="Times New Roman"/>
                <w:i/>
              </w:rPr>
            </w:pPr>
          </w:p>
          <w:p w:rsidR="00BE20C5" w:rsidRPr="00BE20C5" w:rsidRDefault="00BE20C5" w:rsidP="00F96EA4">
            <w:pPr>
              <w:pStyle w:val="ListParagraph"/>
              <w:numPr>
                <w:ilvl w:val="0"/>
                <w:numId w:val="18"/>
              </w:numPr>
              <w:ind w:right="237"/>
              <w:rPr>
                <w:rFonts w:eastAsia="Calibri" w:cs="Times New Roman"/>
                <w:i/>
              </w:rPr>
            </w:pPr>
            <w:r w:rsidRPr="00BE20C5">
              <w:rPr>
                <w:rFonts w:eastAsia="Calibri" w:cs="Times New Roman"/>
                <w:i/>
              </w:rPr>
              <w:t>Курир експрес ДООЕЛ</w:t>
            </w:r>
          </w:p>
        </w:tc>
      </w:tr>
    </w:tbl>
    <w:p w:rsidR="00F77F65" w:rsidRDefault="00F77F65" w:rsidP="00F77F65">
      <w:pPr>
        <w:tabs>
          <w:tab w:val="left" w:pos="5940"/>
        </w:tabs>
        <w:spacing w:after="0"/>
        <w:ind w:right="237"/>
        <w:jc w:val="center"/>
        <w:rPr>
          <w:i/>
        </w:rPr>
      </w:pPr>
    </w:p>
    <w:p w:rsidR="00F77F65" w:rsidRPr="00946FDD" w:rsidRDefault="00F77F65" w:rsidP="00F77F65">
      <w:pPr>
        <w:tabs>
          <w:tab w:val="left" w:pos="5940"/>
        </w:tabs>
        <w:spacing w:after="0"/>
        <w:ind w:right="237"/>
        <w:jc w:val="center"/>
        <w:rPr>
          <w:i/>
        </w:rPr>
      </w:pPr>
    </w:p>
    <w:p w:rsidR="00F77F65" w:rsidRPr="00946803" w:rsidRDefault="00F77F65" w:rsidP="00F77F65">
      <w:pPr>
        <w:pStyle w:val="ListParagraph"/>
        <w:numPr>
          <w:ilvl w:val="0"/>
          <w:numId w:val="1"/>
        </w:numPr>
        <w:tabs>
          <w:tab w:val="left" w:pos="5940"/>
        </w:tabs>
        <w:ind w:right="237"/>
        <w:rPr>
          <w:sz w:val="24"/>
          <w:szCs w:val="24"/>
        </w:rPr>
      </w:pPr>
      <w:r>
        <w:rPr>
          <w:b/>
          <w:i/>
          <w:sz w:val="24"/>
          <w:szCs w:val="24"/>
          <w:u w:val="single"/>
        </w:rPr>
        <w:t xml:space="preserve">Основни дефиниции </w:t>
      </w:r>
      <w:r w:rsidRPr="00946803">
        <w:rPr>
          <w:b/>
          <w:i/>
          <w:sz w:val="24"/>
          <w:szCs w:val="24"/>
          <w:u w:val="single"/>
        </w:rPr>
        <w:t xml:space="preserve">  </w:t>
      </w:r>
    </w:p>
    <w:p w:rsidR="00F77F65" w:rsidRDefault="00F77F65" w:rsidP="00F77F65">
      <w:pPr>
        <w:pStyle w:val="ListParagraph"/>
        <w:spacing w:after="0" w:line="360" w:lineRule="auto"/>
        <w:ind w:left="450" w:right="237" w:hanging="450"/>
        <w:jc w:val="both"/>
        <w:rPr>
          <w:lang w:val="en-US"/>
        </w:rPr>
      </w:pPr>
      <w:r w:rsidRPr="00A432FD">
        <w:t xml:space="preserve">   </w:t>
      </w:r>
    </w:p>
    <w:p w:rsidR="00F77F65" w:rsidRPr="00D62092" w:rsidRDefault="00F77F65" w:rsidP="00F77F65">
      <w:pPr>
        <w:pStyle w:val="ListParagraph"/>
        <w:spacing w:after="0" w:line="360" w:lineRule="auto"/>
        <w:ind w:left="450" w:right="237" w:hanging="450"/>
        <w:jc w:val="both"/>
        <w:rPr>
          <w:rFonts w:ascii="Calibri" w:eastAsia="Times New Roman" w:hAnsi="Calibri" w:cs="Times New Roman"/>
          <w:sz w:val="24"/>
          <w:lang w:eastAsia="mk-MK"/>
        </w:rPr>
      </w:pPr>
      <w:r w:rsidRPr="00D62092">
        <w:rPr>
          <w:rFonts w:ascii="Calibri" w:eastAsia="Times New Roman" w:hAnsi="Calibri" w:cs="Times New Roman"/>
          <w:sz w:val="24"/>
          <w:lang w:eastAsia="mk-MK"/>
        </w:rPr>
        <w:t xml:space="preserve">Дефинирање на одделни поими од </w:t>
      </w:r>
      <w:r w:rsidRPr="00D62092">
        <w:rPr>
          <w:rFonts w:ascii="Calibri" w:eastAsia="Times New Roman" w:hAnsi="Calibri" w:cs="Times New Roman"/>
          <w:b/>
          <w:sz w:val="24"/>
          <w:lang w:eastAsia="mk-MK"/>
        </w:rPr>
        <w:t>Законот за поштенски услуги</w:t>
      </w:r>
      <w:r w:rsidRPr="00D62092">
        <w:rPr>
          <w:rFonts w:ascii="Calibri" w:eastAsia="Times New Roman" w:hAnsi="Calibri" w:cs="Times New Roman"/>
          <w:sz w:val="24"/>
          <w:lang w:eastAsia="mk-MK"/>
        </w:rPr>
        <w:t>:</w:t>
      </w:r>
    </w:p>
    <w:p w:rsidR="00F77F65" w:rsidRPr="00A432FD" w:rsidRDefault="00F77F65" w:rsidP="00F77F65">
      <w:pPr>
        <w:spacing w:after="0" w:line="360" w:lineRule="auto"/>
        <w:ind w:left="450" w:right="237" w:hanging="450"/>
        <w:contextualSpacing/>
        <w:jc w:val="both"/>
        <w:rPr>
          <w:rFonts w:ascii="Calibri" w:eastAsia="Times New Roman" w:hAnsi="Calibri" w:cs="Times New Roman"/>
          <w:lang w:eastAsia="mk-MK"/>
        </w:rPr>
      </w:pPr>
    </w:p>
    <w:p w:rsidR="00F77F65" w:rsidRPr="00A432FD"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поштенски услуги</w:t>
      </w:r>
      <w:r w:rsidRPr="00A432FD">
        <w:rPr>
          <w:rFonts w:ascii="Calibri" w:eastAsia="Times New Roman" w:hAnsi="Calibri" w:cs="Times New Roman"/>
          <w:lang w:eastAsia="mk-MK"/>
        </w:rPr>
        <w:t xml:space="preserve"> се услуги кои вклучуваат прием, пренос, сортирање и дистрибуција на поштенски пратки во внатрешен и меѓународен поштенски сообраќај</w:t>
      </w:r>
      <w:r>
        <w:rPr>
          <w:rFonts w:ascii="Calibri" w:eastAsia="Times New Roman" w:hAnsi="Calibri" w:cs="Times New Roman"/>
          <w:lang w:val="en-US" w:eastAsia="mk-MK"/>
        </w:rPr>
        <w:t>.</w:t>
      </w:r>
    </w:p>
    <w:p w:rsidR="00F77F65" w:rsidRPr="00A432FD"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поштенска пратка</w:t>
      </w:r>
      <w:r w:rsidRPr="00A432FD">
        <w:rPr>
          <w:rFonts w:ascii="Calibri" w:eastAsia="Times New Roman" w:hAnsi="Calibri" w:cs="Times New Roman"/>
          <w:lang w:eastAsia="mk-MK"/>
        </w:rPr>
        <w:t xml:space="preserve"> е пратка адресирана со полна адреса која треба да се</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пренесе од страна на давател на поштенски услуги. Во поштенски пратки спаѓаат</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пратки за кореспонденција, пратки за слепи лица, директна пошта, книги,</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каталози, весници, периодични списанија и пакети кои содржат стока со или без</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означена вредност</w:t>
      </w:r>
      <w:r>
        <w:rPr>
          <w:rFonts w:ascii="Calibri" w:eastAsia="Times New Roman" w:hAnsi="Calibri" w:cs="Times New Roman"/>
          <w:lang w:val="en-US" w:eastAsia="mk-MK"/>
        </w:rPr>
        <w:t>.</w:t>
      </w:r>
    </w:p>
    <w:p w:rsidR="00F77F65" w:rsidRPr="00A432FD"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универзална услуга</w:t>
      </w:r>
      <w:r w:rsidRPr="00A432FD">
        <w:rPr>
          <w:rFonts w:ascii="Calibri" w:eastAsia="Times New Roman" w:hAnsi="Calibri" w:cs="Times New Roman"/>
          <w:lang w:eastAsia="mk-MK"/>
        </w:rPr>
        <w:t xml:space="preserve"> е пакет од определени поштенски услуги кои постојано се обезбедуваат на целата територија на Република Македонија, со определен квалитет и по пристапни цени за корисниците на услугата.</w:t>
      </w:r>
    </w:p>
    <w:p w:rsidR="00F77F65" w:rsidRPr="00A432FD" w:rsidRDefault="00F77F65" w:rsidP="00F77F65">
      <w:pPr>
        <w:numPr>
          <w:ilvl w:val="0"/>
          <w:numId w:val="16"/>
        </w:numPr>
        <w:spacing w:after="0"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пратка за кореспонденција</w:t>
      </w:r>
      <w:r w:rsidRPr="00A432FD">
        <w:rPr>
          <w:rFonts w:ascii="Calibri" w:eastAsia="Times New Roman" w:hAnsi="Calibri" w:cs="Times New Roman"/>
          <w:lang w:eastAsia="mk-MK"/>
        </w:rPr>
        <w:t xml:space="preserve"> е комуникација во писмена форма на каков било</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физички медиум која треба да се пренесе и достави на адресата означена од</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испраќачот на самата пратка или на нејзината обвивка, од страна на давател на</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поштенски услуги. Книги, каталози, весници, периодични списанија и пакети не</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се сметаат за пратки за кореспонденција</w:t>
      </w:r>
      <w:r>
        <w:rPr>
          <w:rFonts w:ascii="Calibri" w:eastAsia="Times New Roman" w:hAnsi="Calibri" w:cs="Times New Roman"/>
          <w:lang w:val="en-US" w:eastAsia="mk-MK"/>
        </w:rPr>
        <w:t>.</w:t>
      </w:r>
    </w:p>
    <w:p w:rsidR="00F77F65" w:rsidRPr="00A432FD"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lastRenderedPageBreak/>
        <w:t>препорачана пратка</w:t>
      </w:r>
      <w:r w:rsidRPr="00A432FD">
        <w:rPr>
          <w:rFonts w:ascii="Calibri" w:eastAsia="Times New Roman" w:hAnsi="Calibri" w:cs="Times New Roman"/>
          <w:lang w:eastAsia="mk-MK"/>
        </w:rPr>
        <w:t xml:space="preserve"> е услуга со која паушално се гарантира против ризици од</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губење, ограбување или оштетување на пратката со која на испраќачот, на</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негово барање, му се обезбедува доказ за достава на пратката на примачот</w:t>
      </w:r>
      <w:r>
        <w:rPr>
          <w:rFonts w:ascii="Calibri" w:eastAsia="Times New Roman" w:hAnsi="Calibri" w:cs="Times New Roman"/>
          <w:lang w:val="en-US" w:eastAsia="mk-MK"/>
        </w:rPr>
        <w:t>.</w:t>
      </w:r>
    </w:p>
    <w:p w:rsidR="00F77F65" w:rsidRPr="00A432FD"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пратка со означена вредност</w:t>
      </w:r>
      <w:r w:rsidRPr="00A432FD">
        <w:rPr>
          <w:rFonts w:ascii="Calibri" w:eastAsia="Times New Roman" w:hAnsi="Calibri" w:cs="Times New Roman"/>
          <w:lang w:eastAsia="mk-MK"/>
        </w:rPr>
        <w:t xml:space="preserve"> е услуга со која се осигурува поштенската пратка до вредноста која ја означил испраќачот во случај на губење, ограбување или оштетување на пратката</w:t>
      </w:r>
      <w:r>
        <w:rPr>
          <w:rFonts w:ascii="Calibri" w:eastAsia="Times New Roman" w:hAnsi="Calibri" w:cs="Times New Roman"/>
          <w:lang w:val="en-US" w:eastAsia="mk-MK"/>
        </w:rPr>
        <w:t>.</w:t>
      </w:r>
    </w:p>
    <w:p w:rsidR="00F77F65" w:rsidRPr="00A432FD" w:rsidRDefault="00F77F65" w:rsidP="00F77F65">
      <w:pPr>
        <w:numPr>
          <w:ilvl w:val="0"/>
          <w:numId w:val="16"/>
        </w:numPr>
        <w:spacing w:after="0"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директна пошта</w:t>
      </w:r>
      <w:r w:rsidRPr="00A432FD">
        <w:rPr>
          <w:rFonts w:ascii="Calibri" w:eastAsia="Times New Roman" w:hAnsi="Calibri" w:cs="Times New Roman"/>
          <w:lang w:eastAsia="mk-MK"/>
        </w:rPr>
        <w:t xml:space="preserve"> е комуникација која се состои само од рекламен, маркетиншки</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или пропаганден материјал со идентична порака која се испраќа на поголем број</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лица и се доставува на адресата што ја означил испраќачот на самата пратка или</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на нејзината обвивка. Сметките, фактурите и финансиските извештаи не се</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сметаат за директна пошта. Комуникација која содржи комбинација од рекламен</w:t>
      </w:r>
      <w:r w:rsidRPr="00A432FD">
        <w:rPr>
          <w:rFonts w:ascii="Calibri" w:eastAsia="Times New Roman" w:hAnsi="Calibri" w:cs="Times New Roman"/>
          <w:lang w:val="en-US" w:eastAsia="mk-MK"/>
        </w:rPr>
        <w:t xml:space="preserve"> </w:t>
      </w:r>
      <w:r w:rsidRPr="00A432FD">
        <w:rPr>
          <w:rFonts w:ascii="Calibri" w:eastAsia="Times New Roman" w:hAnsi="Calibri" w:cs="Times New Roman"/>
          <w:lang w:eastAsia="mk-MK"/>
        </w:rPr>
        <w:t>материјал и други пратки во иста обвивка не се смета како директна пошта</w:t>
      </w:r>
      <w:r>
        <w:rPr>
          <w:rFonts w:ascii="Calibri" w:eastAsia="Times New Roman" w:hAnsi="Calibri" w:cs="Times New Roman"/>
          <w:lang w:val="en-US" w:eastAsia="mk-MK"/>
        </w:rPr>
        <w:t>.</w:t>
      </w:r>
    </w:p>
    <w:p w:rsidR="00F77F65" w:rsidRPr="00764F92" w:rsidRDefault="00F77F65" w:rsidP="00F77F65">
      <w:pPr>
        <w:numPr>
          <w:ilvl w:val="0"/>
          <w:numId w:val="16"/>
        </w:numPr>
        <w:spacing w:line="360" w:lineRule="auto"/>
        <w:ind w:right="237"/>
        <w:contextualSpacing/>
        <w:jc w:val="both"/>
        <w:rPr>
          <w:rFonts w:ascii="Calibri" w:eastAsia="Times New Roman" w:hAnsi="Calibri" w:cs="Times New Roman"/>
          <w:lang w:eastAsia="mk-MK"/>
        </w:rPr>
      </w:pPr>
      <w:r w:rsidRPr="00A432FD">
        <w:rPr>
          <w:rFonts w:ascii="Calibri" w:eastAsia="Times New Roman" w:hAnsi="Calibri" w:cs="Times New Roman"/>
          <w:b/>
          <w:i/>
          <w:u w:val="single"/>
          <w:lang w:eastAsia="mk-MK"/>
        </w:rPr>
        <w:t>пакет</w:t>
      </w:r>
      <w:r w:rsidRPr="00A432FD">
        <w:rPr>
          <w:rFonts w:ascii="Calibri" w:eastAsia="Times New Roman" w:hAnsi="Calibri" w:cs="Times New Roman"/>
          <w:lang w:eastAsia="mk-MK"/>
        </w:rPr>
        <w:t xml:space="preserve"> е поштенска пратка со определена големина и тежина која содржи стока</w:t>
      </w:r>
      <w:r w:rsidRPr="00A432FD">
        <w:rPr>
          <w:rFonts w:ascii="Calibri" w:eastAsia="Times New Roman" w:hAnsi="Calibri" w:cs="Times New Roman"/>
          <w:lang w:val="en-US" w:eastAsia="mk-MK"/>
        </w:rPr>
        <w:t xml:space="preserve"> </w:t>
      </w:r>
      <w:r>
        <w:rPr>
          <w:rFonts w:ascii="Calibri" w:eastAsia="Times New Roman" w:hAnsi="Calibri" w:cs="Times New Roman"/>
          <w:lang w:eastAsia="mk-MK"/>
        </w:rPr>
        <w:t>со или без означена вредност</w:t>
      </w:r>
      <w:r>
        <w:rPr>
          <w:rFonts w:ascii="Calibri" w:eastAsia="Times New Roman" w:hAnsi="Calibri" w:cs="Times New Roman"/>
          <w:lang w:val="en-US" w:eastAsia="mk-MK"/>
        </w:rPr>
        <w:t>.</w:t>
      </w:r>
    </w:p>
    <w:p w:rsidR="00F77F65" w:rsidRDefault="00F77F65" w:rsidP="00F77F65">
      <w:pPr>
        <w:pStyle w:val="ListParagraph"/>
        <w:tabs>
          <w:tab w:val="left" w:pos="5940"/>
        </w:tabs>
        <w:ind w:left="360" w:right="237"/>
        <w:jc w:val="both"/>
        <w:rPr>
          <w:b/>
        </w:rPr>
      </w:pPr>
    </w:p>
    <w:p w:rsidR="00F77F65" w:rsidRDefault="00F77F65" w:rsidP="00F77F65">
      <w:pPr>
        <w:pStyle w:val="ListParagraph"/>
        <w:tabs>
          <w:tab w:val="left" w:pos="5940"/>
        </w:tabs>
        <w:ind w:left="360" w:right="237"/>
        <w:jc w:val="both"/>
        <w:rPr>
          <w:b/>
        </w:rPr>
      </w:pPr>
    </w:p>
    <w:p w:rsidR="00F77F65" w:rsidRPr="00BE20C5" w:rsidRDefault="00F77F65" w:rsidP="00F77F65">
      <w:pPr>
        <w:pStyle w:val="ListParagraph"/>
        <w:numPr>
          <w:ilvl w:val="0"/>
          <w:numId w:val="1"/>
        </w:numPr>
        <w:tabs>
          <w:tab w:val="left" w:pos="5940"/>
        </w:tabs>
        <w:ind w:right="237"/>
        <w:jc w:val="both"/>
        <w:rPr>
          <w:b/>
          <w:i/>
          <w:sz w:val="24"/>
          <w:szCs w:val="24"/>
          <w:u w:val="single"/>
        </w:rPr>
      </w:pPr>
      <w:r w:rsidRPr="00BE20C5">
        <w:rPr>
          <w:b/>
          <w:i/>
          <w:sz w:val="24"/>
          <w:szCs w:val="24"/>
          <w:u w:val="single"/>
        </w:rPr>
        <w:t>Методологија</w:t>
      </w:r>
    </w:p>
    <w:p w:rsidR="00F77F65" w:rsidRPr="00BE20C5" w:rsidRDefault="00F77F65" w:rsidP="00F77F65">
      <w:pPr>
        <w:pStyle w:val="ListParagraph"/>
        <w:tabs>
          <w:tab w:val="left" w:pos="5940"/>
        </w:tabs>
        <w:ind w:left="360" w:right="237"/>
        <w:rPr>
          <w:b/>
          <w:color w:val="FF0000"/>
        </w:rPr>
      </w:pPr>
    </w:p>
    <w:p w:rsidR="00F77F65" w:rsidRPr="00BE20C5" w:rsidRDefault="00F77F65" w:rsidP="00BE20C5">
      <w:pPr>
        <w:tabs>
          <w:tab w:val="left" w:pos="5940"/>
        </w:tabs>
        <w:ind w:right="237" w:firstLine="993"/>
        <w:jc w:val="both"/>
        <w:rPr>
          <w:sz w:val="24"/>
          <w:szCs w:val="24"/>
        </w:rPr>
      </w:pPr>
      <w:r w:rsidRPr="00BE20C5">
        <w:rPr>
          <w:sz w:val="24"/>
          <w:szCs w:val="24"/>
        </w:rPr>
        <w:t xml:space="preserve"> Во Статистички извештај за поштенските активности во Република Македонија за 201</w:t>
      </w:r>
      <w:r w:rsidRPr="00BE20C5">
        <w:rPr>
          <w:sz w:val="24"/>
          <w:szCs w:val="24"/>
          <w:lang w:val="en-US"/>
        </w:rPr>
        <w:t>3</w:t>
      </w:r>
      <w:r w:rsidRPr="00BE20C5">
        <w:rPr>
          <w:sz w:val="24"/>
          <w:szCs w:val="24"/>
        </w:rPr>
        <w:t xml:space="preserve"> година систематски ќе бидат прикажани следниве параметри:</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Податоци за вработени во поштенскиот сектор;</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Вкупен обем на поштенскиот пазар;</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Анализа на обезбедени поштенски услуги кај давател на универзална услуга;</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Анализа на обезбедени поштенски услуги кај даватели на поштенски услуги на слободниот пазар;;</w:t>
      </w:r>
      <w:r w:rsidRPr="00BE20C5">
        <w:rPr>
          <w:sz w:val="24"/>
          <w:szCs w:val="24"/>
        </w:rPr>
        <w:t xml:space="preserve"> </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Точки за пристап до поштенските услуги;</w:t>
      </w:r>
    </w:p>
    <w:p w:rsidR="00F77F65" w:rsidRPr="00BE20C5" w:rsidRDefault="00F77F65" w:rsidP="00F77F65">
      <w:pPr>
        <w:numPr>
          <w:ilvl w:val="0"/>
          <w:numId w:val="2"/>
        </w:numPr>
        <w:tabs>
          <w:tab w:val="left" w:pos="5940"/>
        </w:tabs>
        <w:ind w:right="237"/>
        <w:jc w:val="both"/>
        <w:rPr>
          <w:b/>
          <w:i/>
          <w:sz w:val="24"/>
          <w:szCs w:val="24"/>
        </w:rPr>
      </w:pPr>
      <w:r w:rsidRPr="00BE20C5">
        <w:rPr>
          <w:b/>
          <w:i/>
          <w:sz w:val="24"/>
          <w:szCs w:val="24"/>
        </w:rPr>
        <w:t>Остварени приходи од обезбедување на поштенски услуги;</w:t>
      </w:r>
    </w:p>
    <w:p w:rsidR="00F77F65" w:rsidRPr="00BE20C5" w:rsidRDefault="00F77F65" w:rsidP="00F77F65">
      <w:pPr>
        <w:pStyle w:val="ListParagraph"/>
        <w:numPr>
          <w:ilvl w:val="0"/>
          <w:numId w:val="2"/>
        </w:numPr>
        <w:tabs>
          <w:tab w:val="left" w:pos="5940"/>
        </w:tabs>
        <w:ind w:right="237"/>
        <w:jc w:val="both"/>
        <w:rPr>
          <w:sz w:val="24"/>
          <w:szCs w:val="24"/>
        </w:rPr>
      </w:pPr>
      <w:r w:rsidRPr="00BE20C5">
        <w:rPr>
          <w:b/>
          <w:i/>
          <w:sz w:val="24"/>
          <w:szCs w:val="24"/>
        </w:rPr>
        <w:t>Податоци за безбедност и рекламации за поштенски пратки.</w:t>
      </w:r>
    </w:p>
    <w:p w:rsidR="00F77F65" w:rsidRPr="0007396F" w:rsidRDefault="00F77F65" w:rsidP="00BE20C5">
      <w:pPr>
        <w:tabs>
          <w:tab w:val="left" w:pos="5940"/>
        </w:tabs>
        <w:ind w:right="237" w:firstLine="851"/>
        <w:jc w:val="both"/>
        <w:rPr>
          <w:sz w:val="24"/>
          <w:szCs w:val="24"/>
        </w:rPr>
      </w:pPr>
      <w:r w:rsidRPr="0007396F">
        <w:rPr>
          <w:bCs/>
          <w:sz w:val="24"/>
          <w:szCs w:val="24"/>
        </w:rPr>
        <w:t>Агенцијата</w:t>
      </w:r>
      <w:r w:rsidRPr="0007396F">
        <w:rPr>
          <w:sz w:val="24"/>
          <w:szCs w:val="24"/>
        </w:rPr>
        <w:t xml:space="preserve"> за пошти тргнувајќи од потребите за спроведувањето на своите надлежности и вршењето на мониторинг на пазарот, а во функција на изготвување  на  анализа на пазарот на поштенските услуги согласно член 22, став 1 од Законот за поштенските услуги, изготви Упатство за обезбедување на информации и финансиски  </w:t>
      </w:r>
      <w:r w:rsidRPr="00D62092">
        <w:rPr>
          <w:sz w:val="24"/>
          <w:szCs w:val="24"/>
        </w:rPr>
        <w:lastRenderedPageBreak/>
        <w:t>податоци</w:t>
      </w:r>
      <w:r w:rsidRPr="00D62092">
        <w:rPr>
          <w:sz w:val="24"/>
          <w:szCs w:val="24"/>
          <w:lang w:val="en-US"/>
        </w:rPr>
        <w:t xml:space="preserve"> </w:t>
      </w:r>
      <w:r w:rsidRPr="00D62092">
        <w:rPr>
          <w:sz w:val="24"/>
          <w:szCs w:val="24"/>
        </w:rPr>
        <w:t>со цел анализа на пазарот на поштенските услуги</w:t>
      </w:r>
      <w:r w:rsidR="00985795">
        <w:rPr>
          <w:sz w:val="24"/>
          <w:szCs w:val="24"/>
        </w:rPr>
        <w:t xml:space="preserve"> во Република Македонија за 2014</w:t>
      </w:r>
      <w:r w:rsidRPr="00D62092">
        <w:rPr>
          <w:sz w:val="24"/>
          <w:szCs w:val="24"/>
        </w:rPr>
        <w:t xml:space="preserve"> година споредбено со податоцит</w:t>
      </w:r>
      <w:r w:rsidR="00985795">
        <w:rPr>
          <w:sz w:val="24"/>
          <w:szCs w:val="24"/>
        </w:rPr>
        <w:t>е добиени од 2008 година до 2013</w:t>
      </w:r>
      <w:r w:rsidRPr="00D62092">
        <w:rPr>
          <w:sz w:val="24"/>
          <w:szCs w:val="24"/>
        </w:rPr>
        <w:t xml:space="preserve"> година. </w:t>
      </w:r>
      <w:r w:rsidRPr="0007396F">
        <w:rPr>
          <w:sz w:val="24"/>
          <w:szCs w:val="24"/>
        </w:rPr>
        <w:t xml:space="preserve">Во состав на ова упатство се изготвени и Извештаи за обезбедување на поштенски услуги, за давателот на универзална услуга и за останатите даватели на поштенски услуги. Согласно член 1 и 2 од Упатството давателите на поштенски услуги имаат законска обврска за доставување до Агенцијата пополнет Извештај на секои шест месеци односно два пати во годината. Пополнетиот извештајот за првата половина од календарската година (1 јануари – 30 јуни) се доставува до 1 септември, а за втората половина од  календарската  година  (1  јули  –  31  декември)  до  1  март наредната година. </w:t>
      </w:r>
    </w:p>
    <w:p w:rsidR="00F77F65" w:rsidRPr="0007396F" w:rsidRDefault="00F77F65" w:rsidP="00985795">
      <w:pPr>
        <w:tabs>
          <w:tab w:val="left" w:pos="5940"/>
        </w:tabs>
        <w:ind w:right="237" w:firstLine="851"/>
        <w:jc w:val="both"/>
        <w:rPr>
          <w:sz w:val="24"/>
          <w:szCs w:val="24"/>
        </w:rPr>
      </w:pPr>
      <w:r w:rsidRPr="0007396F">
        <w:rPr>
          <w:sz w:val="24"/>
          <w:szCs w:val="24"/>
        </w:rPr>
        <w:t>Согласно законската регулатива, регулаторот има право да побара и дополнителни информации и податоци заради успешно извршување на своите надлежности. До давателот на универзална услуга- АД Македонска Пошта, Аген</w:t>
      </w:r>
      <w:r w:rsidR="00985795">
        <w:rPr>
          <w:sz w:val="24"/>
          <w:szCs w:val="24"/>
        </w:rPr>
        <w:t>цијата за пошти во текот на 2014</w:t>
      </w:r>
      <w:r w:rsidRPr="0007396F">
        <w:rPr>
          <w:sz w:val="24"/>
          <w:szCs w:val="24"/>
        </w:rPr>
        <w:t xml:space="preserve"> година достави и неколку дополнителни прашалници во однос на мрежата, во однос на обезбедување на услугите и сл. Податоците кои се добиени од страна на Давателите на поштенски услуги во форма на Извештај за обезбедување на поштенски услуги, како и дополнителните прашалници доставени до давателот на универзална услуга, претставуваат основ за подготовка на Статистичкиот извештај за поштенските активности во Република Македонија за годината на која се однесуваат податоците. Статистичкиот извештај ги претставува давателите на поштенските услуги, анализата на податоците за обезбедување на поштенските услуги, следејќи ги податоците за обемот и видовите на поштенските услуги, финансиските податоци и квалитетот на обезбедување на услугите, податоците за развој на</w:t>
      </w:r>
      <w:r w:rsidRPr="0007396F">
        <w:rPr>
          <w:sz w:val="28"/>
          <w:szCs w:val="28"/>
        </w:rPr>
        <w:t xml:space="preserve"> </w:t>
      </w:r>
      <w:r w:rsidRPr="0007396F">
        <w:rPr>
          <w:sz w:val="24"/>
          <w:szCs w:val="24"/>
        </w:rPr>
        <w:t xml:space="preserve">поштенската мрежа и ценовното движење на услугите.  </w:t>
      </w:r>
    </w:p>
    <w:p w:rsidR="0001110F" w:rsidRPr="00F77F65" w:rsidRDefault="00F77F65" w:rsidP="004A33C5">
      <w:pPr>
        <w:tabs>
          <w:tab w:val="left" w:pos="5940"/>
        </w:tabs>
        <w:ind w:right="237" w:firstLine="851"/>
        <w:jc w:val="both"/>
        <w:rPr>
          <w:sz w:val="24"/>
          <w:szCs w:val="24"/>
          <w:lang w:val="en-US"/>
        </w:rPr>
      </w:pPr>
      <w:r w:rsidRPr="00D62092">
        <w:rPr>
          <w:sz w:val="24"/>
          <w:szCs w:val="24"/>
        </w:rPr>
        <w:t xml:space="preserve">Од </w:t>
      </w:r>
      <w:r w:rsidR="00985795">
        <w:rPr>
          <w:sz w:val="24"/>
          <w:szCs w:val="24"/>
        </w:rPr>
        <w:t>23</w:t>
      </w:r>
      <w:r w:rsidRPr="00D62092">
        <w:rPr>
          <w:sz w:val="24"/>
          <w:szCs w:val="24"/>
        </w:rPr>
        <w:t xml:space="preserve"> даватели на пошт</w:t>
      </w:r>
      <w:r w:rsidR="00985795">
        <w:rPr>
          <w:sz w:val="24"/>
          <w:szCs w:val="24"/>
        </w:rPr>
        <w:t>енски услуги кои работат во 2014</w:t>
      </w:r>
      <w:r w:rsidRPr="00D62092">
        <w:rPr>
          <w:sz w:val="24"/>
          <w:szCs w:val="24"/>
        </w:rPr>
        <w:t xml:space="preserve"> година, пополнети извештаи до агенцијата имаат доставено </w:t>
      </w:r>
      <w:r w:rsidR="00985795">
        <w:rPr>
          <w:sz w:val="24"/>
          <w:szCs w:val="24"/>
        </w:rPr>
        <w:t>21 давател</w:t>
      </w:r>
      <w:r w:rsidRPr="00D62092">
        <w:rPr>
          <w:sz w:val="24"/>
          <w:szCs w:val="24"/>
        </w:rPr>
        <w:t xml:space="preserve"> на поштенски услуги, и кои се предмет на овој статистички извештај.</w:t>
      </w:r>
    </w:p>
    <w:p w:rsidR="0001110F" w:rsidRDefault="0001110F" w:rsidP="00B97486">
      <w:pPr>
        <w:tabs>
          <w:tab w:val="left" w:pos="1767"/>
        </w:tabs>
        <w:rPr>
          <w:sz w:val="28"/>
          <w:szCs w:val="28"/>
        </w:rPr>
      </w:pPr>
    </w:p>
    <w:p w:rsidR="0001110F" w:rsidRPr="00985795" w:rsidRDefault="0001110F" w:rsidP="00985795">
      <w:pPr>
        <w:pStyle w:val="ListParagraph"/>
        <w:numPr>
          <w:ilvl w:val="0"/>
          <w:numId w:val="1"/>
        </w:numPr>
        <w:tabs>
          <w:tab w:val="left" w:pos="1767"/>
        </w:tabs>
        <w:rPr>
          <w:b/>
          <w:i/>
          <w:sz w:val="24"/>
          <w:szCs w:val="24"/>
          <w:u w:val="single"/>
        </w:rPr>
      </w:pPr>
      <w:r w:rsidRPr="00985795">
        <w:rPr>
          <w:b/>
          <w:i/>
          <w:sz w:val="24"/>
          <w:szCs w:val="24"/>
          <w:u w:val="single"/>
        </w:rPr>
        <w:t>Податоци за вработените во поштенскиот сектор</w:t>
      </w:r>
    </w:p>
    <w:p w:rsidR="0001110F" w:rsidRPr="00985795" w:rsidRDefault="0001110F" w:rsidP="0001110F">
      <w:pPr>
        <w:tabs>
          <w:tab w:val="left" w:pos="1767"/>
        </w:tabs>
        <w:rPr>
          <w:sz w:val="24"/>
          <w:szCs w:val="24"/>
        </w:rPr>
      </w:pPr>
    </w:p>
    <w:p w:rsidR="0001110F" w:rsidRPr="0001110F" w:rsidRDefault="0001110F" w:rsidP="00985795">
      <w:pPr>
        <w:tabs>
          <w:tab w:val="left" w:pos="1767"/>
        </w:tabs>
        <w:ind w:firstLine="851"/>
        <w:jc w:val="both"/>
        <w:rPr>
          <w:sz w:val="24"/>
          <w:szCs w:val="24"/>
        </w:rPr>
      </w:pPr>
      <w:r w:rsidRPr="0001110F">
        <w:rPr>
          <w:sz w:val="24"/>
          <w:szCs w:val="24"/>
        </w:rPr>
        <w:t>Бројот на вработени во поштенскиот сектор во 201</w:t>
      </w:r>
      <w:r>
        <w:rPr>
          <w:sz w:val="24"/>
          <w:szCs w:val="24"/>
        </w:rPr>
        <w:t xml:space="preserve">4 </w:t>
      </w:r>
      <w:r w:rsidRPr="0001110F">
        <w:rPr>
          <w:sz w:val="24"/>
          <w:szCs w:val="24"/>
        </w:rPr>
        <w:t>година кај сите даватели на поштенски услуги изнесува 2,</w:t>
      </w:r>
      <w:r>
        <w:rPr>
          <w:sz w:val="24"/>
          <w:szCs w:val="24"/>
        </w:rPr>
        <w:t>840</w:t>
      </w:r>
      <w:r w:rsidRPr="0001110F">
        <w:rPr>
          <w:sz w:val="24"/>
          <w:szCs w:val="24"/>
        </w:rPr>
        <w:t xml:space="preserve"> лица, од кои 2,</w:t>
      </w:r>
      <w:r>
        <w:rPr>
          <w:sz w:val="24"/>
          <w:szCs w:val="24"/>
        </w:rPr>
        <w:t>306</w:t>
      </w:r>
      <w:r w:rsidRPr="0001110F">
        <w:rPr>
          <w:sz w:val="24"/>
          <w:szCs w:val="24"/>
        </w:rPr>
        <w:t xml:space="preserve"> се вработени во Македонска пошта, а останатите </w:t>
      </w:r>
      <w:r>
        <w:rPr>
          <w:sz w:val="24"/>
          <w:szCs w:val="24"/>
        </w:rPr>
        <w:t>534</w:t>
      </w:r>
      <w:r w:rsidRPr="0001110F">
        <w:rPr>
          <w:sz w:val="24"/>
          <w:szCs w:val="24"/>
        </w:rPr>
        <w:t xml:space="preserve"> во компаниите на останатите даватели на поштенски услуги (Слика 1). </w:t>
      </w:r>
    </w:p>
    <w:p w:rsidR="00985795" w:rsidRDefault="0001110F" w:rsidP="0001110F">
      <w:pPr>
        <w:tabs>
          <w:tab w:val="left" w:pos="1767"/>
        </w:tabs>
        <w:jc w:val="both"/>
        <w:rPr>
          <w:sz w:val="24"/>
          <w:szCs w:val="24"/>
        </w:rPr>
      </w:pPr>
      <w:r w:rsidRPr="0001110F">
        <w:rPr>
          <w:sz w:val="24"/>
          <w:szCs w:val="24"/>
        </w:rPr>
        <w:t>Бројот на вработени во Македонска пошта во 201</w:t>
      </w:r>
      <w:r>
        <w:rPr>
          <w:sz w:val="24"/>
          <w:szCs w:val="24"/>
        </w:rPr>
        <w:t>4</w:t>
      </w:r>
      <w:r w:rsidRPr="0001110F">
        <w:rPr>
          <w:sz w:val="24"/>
          <w:szCs w:val="24"/>
        </w:rPr>
        <w:t xml:space="preserve"> година е </w:t>
      </w:r>
      <w:r>
        <w:rPr>
          <w:sz w:val="24"/>
          <w:szCs w:val="24"/>
        </w:rPr>
        <w:t>зголемен</w:t>
      </w:r>
      <w:r w:rsidRPr="0001110F">
        <w:rPr>
          <w:sz w:val="24"/>
          <w:szCs w:val="24"/>
        </w:rPr>
        <w:t xml:space="preserve"> во однос на претходната година за </w:t>
      </w:r>
      <w:r w:rsidR="0095661F">
        <w:rPr>
          <w:sz w:val="24"/>
          <w:szCs w:val="24"/>
        </w:rPr>
        <w:t>4%</w:t>
      </w:r>
      <w:r>
        <w:rPr>
          <w:sz w:val="24"/>
          <w:szCs w:val="24"/>
        </w:rPr>
        <w:t>.</w:t>
      </w:r>
      <w:r w:rsidRPr="0001110F">
        <w:rPr>
          <w:sz w:val="24"/>
          <w:szCs w:val="24"/>
        </w:rPr>
        <w:t xml:space="preserve"> </w:t>
      </w:r>
      <w:r>
        <w:rPr>
          <w:sz w:val="24"/>
          <w:szCs w:val="24"/>
        </w:rPr>
        <w:t>Исто така,</w:t>
      </w:r>
      <w:r w:rsidRPr="0001110F">
        <w:rPr>
          <w:sz w:val="24"/>
          <w:szCs w:val="24"/>
        </w:rPr>
        <w:t xml:space="preserve"> бројот на вработени кај останатите даватели на поштенски услуги се зголемува за </w:t>
      </w:r>
      <w:r w:rsidR="0095661F">
        <w:rPr>
          <w:sz w:val="24"/>
          <w:szCs w:val="24"/>
        </w:rPr>
        <w:t>1</w:t>
      </w:r>
      <w:r w:rsidR="009700F4">
        <w:rPr>
          <w:sz w:val="24"/>
          <w:szCs w:val="24"/>
        </w:rPr>
        <w:t>4</w:t>
      </w:r>
      <w:r w:rsidRPr="0001110F">
        <w:rPr>
          <w:sz w:val="24"/>
          <w:szCs w:val="24"/>
        </w:rPr>
        <w:t xml:space="preserve">%, што покажува постојано зголемување на конкуренцијата на пазарот, што е докажано и преку зголемување на обемот на поштенски пратки кај Давателите на поштенски услуги на </w:t>
      </w:r>
      <w:r>
        <w:rPr>
          <w:sz w:val="24"/>
          <w:szCs w:val="24"/>
        </w:rPr>
        <w:t>целиот пазар.</w:t>
      </w:r>
    </w:p>
    <w:p w:rsidR="005B0146" w:rsidRPr="00985795" w:rsidRDefault="005B0146" w:rsidP="00985795">
      <w:pPr>
        <w:tabs>
          <w:tab w:val="left" w:pos="1767"/>
        </w:tabs>
        <w:jc w:val="center"/>
        <w:rPr>
          <w:bCs/>
          <w:i/>
          <w:sz w:val="24"/>
          <w:szCs w:val="24"/>
        </w:rPr>
      </w:pPr>
      <w:r w:rsidRPr="00985795">
        <w:rPr>
          <w:i/>
          <w:sz w:val="24"/>
          <w:szCs w:val="24"/>
        </w:rPr>
        <w:lastRenderedPageBreak/>
        <w:t xml:space="preserve">Слика 1: </w:t>
      </w:r>
      <w:r w:rsidRPr="00985795">
        <w:rPr>
          <w:bCs/>
          <w:i/>
          <w:sz w:val="24"/>
          <w:szCs w:val="24"/>
        </w:rPr>
        <w:t>Вкупен број на вработени во поштенскиот сектор</w:t>
      </w:r>
    </w:p>
    <w:tbl>
      <w:tblPr>
        <w:tblpPr w:leftFromText="180" w:rightFromText="180" w:vertAnchor="text" w:horzAnchor="margin" w:tblpX="9" w:tblpY="21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046"/>
        <w:gridCol w:w="1046"/>
        <w:gridCol w:w="1046"/>
        <w:gridCol w:w="1047"/>
        <w:gridCol w:w="1046"/>
        <w:gridCol w:w="1044"/>
        <w:gridCol w:w="1114"/>
      </w:tblGrid>
      <w:tr w:rsidR="009458A6" w:rsidRPr="00963530" w:rsidTr="009458A6">
        <w:trPr>
          <w:trHeight w:val="260"/>
        </w:trPr>
        <w:tc>
          <w:tcPr>
            <w:tcW w:w="2358" w:type="dxa"/>
            <w:shd w:val="clear" w:color="auto" w:fill="D70354"/>
            <w:noWrap/>
            <w:vAlign w:val="center"/>
            <w:hideMark/>
          </w:tcPr>
          <w:p w:rsidR="009458A6" w:rsidRPr="00303A49" w:rsidRDefault="009458A6" w:rsidP="009458A6">
            <w:pPr>
              <w:tabs>
                <w:tab w:val="left" w:pos="5940"/>
              </w:tabs>
              <w:rPr>
                <w:rFonts w:ascii="Calibri" w:eastAsia="Calibri" w:hAnsi="Calibri" w:cs="Times New Roman"/>
                <w:b/>
                <w:bCs/>
                <w:i/>
                <w:color w:val="FFFFFF"/>
              </w:rPr>
            </w:pPr>
            <w:r w:rsidRPr="00303A49">
              <w:rPr>
                <w:rFonts w:ascii="Calibri" w:eastAsia="Calibri" w:hAnsi="Calibri" w:cs="Times New Roman"/>
                <w:b/>
                <w:bCs/>
                <w:i/>
                <w:color w:val="FFFFFF"/>
              </w:rPr>
              <w:t>Вкупен број на вработени во поштенскиот сектор</w:t>
            </w:r>
          </w:p>
        </w:tc>
        <w:tc>
          <w:tcPr>
            <w:tcW w:w="1046" w:type="dxa"/>
            <w:shd w:val="clear" w:color="auto" w:fill="D70354"/>
            <w:vAlign w:val="center"/>
            <w:hideMark/>
          </w:tcPr>
          <w:p w:rsidR="009458A6" w:rsidRPr="00963530" w:rsidRDefault="009458A6" w:rsidP="009458A6">
            <w:pPr>
              <w:tabs>
                <w:tab w:val="left" w:pos="5940"/>
              </w:tabs>
              <w:jc w:val="center"/>
              <w:rPr>
                <w:rFonts w:ascii="Calibri" w:eastAsia="Calibri" w:hAnsi="Calibri" w:cs="Times New Roman"/>
                <w:b/>
                <w:bCs/>
                <w:color w:val="FFFFFF"/>
              </w:rPr>
            </w:pPr>
            <w:r w:rsidRPr="00963530">
              <w:rPr>
                <w:rFonts w:ascii="Calibri" w:eastAsia="Calibri" w:hAnsi="Calibri" w:cs="Times New Roman"/>
                <w:b/>
                <w:bCs/>
                <w:color w:val="FFFFFF"/>
              </w:rPr>
              <w:t>2008 година</w:t>
            </w:r>
          </w:p>
        </w:tc>
        <w:tc>
          <w:tcPr>
            <w:tcW w:w="1046" w:type="dxa"/>
            <w:shd w:val="clear" w:color="auto" w:fill="D70354"/>
            <w:vAlign w:val="center"/>
          </w:tcPr>
          <w:p w:rsidR="009458A6" w:rsidRPr="00963530" w:rsidRDefault="009458A6" w:rsidP="009458A6">
            <w:pPr>
              <w:tabs>
                <w:tab w:val="left" w:pos="5940"/>
              </w:tabs>
              <w:ind w:right="-108"/>
              <w:jc w:val="center"/>
              <w:rPr>
                <w:rFonts w:ascii="Calibri" w:eastAsia="Calibri" w:hAnsi="Calibri" w:cs="Times New Roman"/>
                <w:b/>
                <w:bCs/>
                <w:color w:val="FFFFFF"/>
                <w:lang w:val="en-US"/>
              </w:rPr>
            </w:pPr>
            <w:r w:rsidRPr="00963530">
              <w:rPr>
                <w:rFonts w:ascii="Calibri" w:eastAsia="Calibri" w:hAnsi="Calibri" w:cs="Times New Roman"/>
                <w:b/>
                <w:bCs/>
                <w:color w:val="FFFFFF"/>
                <w:lang w:val="en-US"/>
              </w:rPr>
              <w:t>2009 година</w:t>
            </w:r>
          </w:p>
        </w:tc>
        <w:tc>
          <w:tcPr>
            <w:tcW w:w="1046" w:type="dxa"/>
            <w:shd w:val="clear" w:color="auto" w:fill="D70354"/>
            <w:vAlign w:val="center"/>
            <w:hideMark/>
          </w:tcPr>
          <w:p w:rsidR="009458A6" w:rsidRPr="00963530" w:rsidRDefault="009458A6" w:rsidP="009458A6">
            <w:pPr>
              <w:tabs>
                <w:tab w:val="left" w:pos="5940"/>
              </w:tabs>
              <w:jc w:val="center"/>
              <w:rPr>
                <w:rFonts w:ascii="Calibri" w:eastAsia="Calibri" w:hAnsi="Calibri" w:cs="Times New Roman"/>
                <w:b/>
                <w:bCs/>
                <w:color w:val="FFFFFF"/>
                <w:lang w:val="en-US"/>
              </w:rPr>
            </w:pPr>
            <w:r w:rsidRPr="00963530">
              <w:rPr>
                <w:rFonts w:ascii="Calibri" w:eastAsia="Calibri" w:hAnsi="Calibri" w:cs="Times New Roman"/>
                <w:b/>
                <w:bCs/>
                <w:color w:val="FFFFFF"/>
                <w:lang w:val="en-US"/>
              </w:rPr>
              <w:t>2010 година</w:t>
            </w:r>
          </w:p>
        </w:tc>
        <w:tc>
          <w:tcPr>
            <w:tcW w:w="1047" w:type="dxa"/>
            <w:shd w:val="clear" w:color="auto" w:fill="D70354"/>
            <w:vAlign w:val="center"/>
          </w:tcPr>
          <w:p w:rsidR="009458A6" w:rsidRPr="00963530" w:rsidRDefault="009458A6" w:rsidP="009458A6">
            <w:pPr>
              <w:tabs>
                <w:tab w:val="left" w:pos="5940"/>
              </w:tabs>
              <w:jc w:val="center"/>
              <w:rPr>
                <w:rFonts w:ascii="Calibri" w:eastAsia="Calibri" w:hAnsi="Calibri" w:cs="Times New Roman"/>
                <w:b/>
                <w:bCs/>
                <w:color w:val="FFFFFF"/>
              </w:rPr>
            </w:pPr>
            <w:r w:rsidRPr="00963530">
              <w:rPr>
                <w:rFonts w:ascii="Calibri" w:eastAsia="Calibri" w:hAnsi="Calibri" w:cs="Times New Roman"/>
                <w:b/>
                <w:bCs/>
                <w:color w:val="FFFFFF"/>
              </w:rPr>
              <w:t>2011 година</w:t>
            </w:r>
          </w:p>
        </w:tc>
        <w:tc>
          <w:tcPr>
            <w:tcW w:w="1046" w:type="dxa"/>
            <w:shd w:val="clear" w:color="auto" w:fill="D70354"/>
            <w:vAlign w:val="center"/>
          </w:tcPr>
          <w:p w:rsidR="009458A6" w:rsidRPr="00963530" w:rsidRDefault="009458A6" w:rsidP="009458A6">
            <w:pPr>
              <w:jc w:val="center"/>
              <w:rPr>
                <w:rFonts w:ascii="Calibri" w:eastAsia="Calibri" w:hAnsi="Calibri" w:cs="Times New Roman"/>
                <w:b/>
                <w:color w:val="FFFFFF"/>
              </w:rPr>
            </w:pPr>
            <w:r w:rsidRPr="00963530">
              <w:rPr>
                <w:rFonts w:ascii="Calibri" w:eastAsia="Calibri" w:hAnsi="Calibri" w:cs="Times New Roman"/>
                <w:b/>
                <w:color w:val="FFFFFF"/>
                <w:lang w:val="en-US"/>
              </w:rPr>
              <w:t xml:space="preserve">2012 </w:t>
            </w:r>
            <w:r w:rsidRPr="00963530">
              <w:rPr>
                <w:rFonts w:ascii="Calibri" w:eastAsia="Calibri" w:hAnsi="Calibri" w:cs="Times New Roman"/>
                <w:b/>
                <w:color w:val="FFFFFF"/>
              </w:rPr>
              <w:t>година</w:t>
            </w:r>
          </w:p>
        </w:tc>
        <w:tc>
          <w:tcPr>
            <w:tcW w:w="1044" w:type="dxa"/>
            <w:shd w:val="clear" w:color="auto" w:fill="D70354"/>
            <w:vAlign w:val="center"/>
          </w:tcPr>
          <w:p w:rsidR="009458A6" w:rsidRPr="00963530" w:rsidRDefault="009458A6" w:rsidP="009458A6">
            <w:pPr>
              <w:jc w:val="center"/>
              <w:rPr>
                <w:rFonts w:ascii="Calibri" w:eastAsia="Calibri" w:hAnsi="Calibri" w:cs="Times New Roman"/>
                <w:b/>
                <w:color w:val="FFFFFF" w:themeColor="background1"/>
              </w:rPr>
            </w:pPr>
            <w:r w:rsidRPr="00963530">
              <w:rPr>
                <w:rFonts w:ascii="Calibri" w:eastAsia="Calibri" w:hAnsi="Calibri" w:cs="Times New Roman"/>
                <w:b/>
                <w:color w:val="FFFFFF" w:themeColor="background1"/>
              </w:rPr>
              <w:t>2013</w:t>
            </w:r>
            <w:r>
              <w:rPr>
                <w:rFonts w:ascii="Calibri" w:eastAsia="Calibri" w:hAnsi="Calibri" w:cs="Times New Roman"/>
                <w:b/>
                <w:color w:val="FFFFFF" w:themeColor="background1"/>
              </w:rPr>
              <w:t xml:space="preserve"> година</w:t>
            </w:r>
          </w:p>
        </w:tc>
        <w:tc>
          <w:tcPr>
            <w:tcW w:w="1114" w:type="dxa"/>
            <w:shd w:val="clear" w:color="auto" w:fill="D70354"/>
            <w:vAlign w:val="center"/>
          </w:tcPr>
          <w:p w:rsidR="009458A6" w:rsidRPr="00963530" w:rsidRDefault="009458A6" w:rsidP="009458A6">
            <w:pPr>
              <w:jc w:val="center"/>
              <w:rPr>
                <w:rFonts w:ascii="Calibri" w:eastAsia="Calibri" w:hAnsi="Calibri" w:cs="Times New Roman"/>
                <w:b/>
                <w:color w:val="FFFFFF" w:themeColor="background1"/>
              </w:rPr>
            </w:pPr>
            <w:r>
              <w:rPr>
                <w:rFonts w:ascii="Calibri" w:eastAsia="Calibri" w:hAnsi="Calibri" w:cs="Times New Roman"/>
                <w:b/>
                <w:color w:val="FFFFFF" w:themeColor="background1"/>
              </w:rPr>
              <w:t xml:space="preserve">2014 </w:t>
            </w:r>
            <w:r w:rsidRPr="00963530">
              <w:rPr>
                <w:rFonts w:ascii="Calibri" w:eastAsia="Calibri" w:hAnsi="Calibri" w:cs="Times New Roman"/>
                <w:b/>
                <w:color w:val="FFFFFF" w:themeColor="background1"/>
              </w:rPr>
              <w:t>година</w:t>
            </w:r>
          </w:p>
        </w:tc>
      </w:tr>
      <w:tr w:rsidR="009458A6" w:rsidRPr="00963530" w:rsidTr="009458A6">
        <w:trPr>
          <w:trHeight w:val="1089"/>
        </w:trPr>
        <w:tc>
          <w:tcPr>
            <w:tcW w:w="2358" w:type="dxa"/>
            <w:shd w:val="clear" w:color="auto" w:fill="auto"/>
            <w:noWrap/>
            <w:vAlign w:val="center"/>
            <w:hideMark/>
          </w:tcPr>
          <w:p w:rsidR="009458A6" w:rsidRPr="00303A49" w:rsidRDefault="009458A6" w:rsidP="009458A6">
            <w:pPr>
              <w:tabs>
                <w:tab w:val="left" w:pos="5940"/>
              </w:tabs>
              <w:rPr>
                <w:rFonts w:ascii="Calibri" w:eastAsia="Calibri" w:hAnsi="Calibri" w:cs="Times New Roman"/>
                <w:b/>
                <w:i/>
              </w:rPr>
            </w:pPr>
            <w:r w:rsidRPr="00303A49">
              <w:rPr>
                <w:rFonts w:ascii="Calibri" w:eastAsia="Calibri" w:hAnsi="Calibri" w:cs="Times New Roman"/>
                <w:b/>
                <w:i/>
                <w:lang w:val="en-US"/>
              </w:rPr>
              <w:t>А.Д</w:t>
            </w:r>
            <w:r w:rsidRPr="00303A49">
              <w:rPr>
                <w:rFonts w:ascii="Calibri" w:eastAsia="Calibri" w:hAnsi="Calibri" w:cs="Times New Roman"/>
                <w:b/>
                <w:i/>
              </w:rPr>
              <w:t>.</w:t>
            </w:r>
            <w:r w:rsidRPr="00303A49">
              <w:rPr>
                <w:rFonts w:ascii="Calibri" w:eastAsia="Calibri" w:hAnsi="Calibri" w:cs="Times New Roman"/>
                <w:b/>
                <w:i/>
                <w:lang w:val="en-US"/>
              </w:rPr>
              <w:t xml:space="preserve"> М</w:t>
            </w:r>
            <w:r w:rsidRPr="00303A49">
              <w:rPr>
                <w:rFonts w:ascii="Calibri" w:eastAsia="Calibri" w:hAnsi="Calibri" w:cs="Times New Roman"/>
                <w:b/>
                <w:i/>
              </w:rPr>
              <w:t>акедонска пошта</w:t>
            </w:r>
          </w:p>
        </w:tc>
        <w:tc>
          <w:tcPr>
            <w:tcW w:w="1046" w:type="dxa"/>
            <w:shd w:val="clear" w:color="auto" w:fill="auto"/>
            <w:noWrap/>
            <w:vAlign w:val="center"/>
            <w:hideMark/>
          </w:tcPr>
          <w:p w:rsidR="009458A6" w:rsidRPr="00303A49" w:rsidRDefault="009458A6" w:rsidP="009458A6">
            <w:pPr>
              <w:tabs>
                <w:tab w:val="left" w:pos="5940"/>
              </w:tabs>
              <w:jc w:val="right"/>
              <w:rPr>
                <w:rFonts w:ascii="Calibri" w:eastAsia="Calibri" w:hAnsi="Calibri" w:cs="Times New Roman"/>
                <w:sz w:val="24"/>
                <w:szCs w:val="24"/>
                <w:lang w:val="en-US"/>
              </w:rPr>
            </w:pPr>
            <w:r w:rsidRPr="00303A49">
              <w:rPr>
                <w:rFonts w:ascii="Calibri" w:eastAsia="Calibri" w:hAnsi="Calibri" w:cs="Times New Roman"/>
                <w:sz w:val="24"/>
                <w:szCs w:val="24"/>
                <w:lang w:val="en-US"/>
              </w:rPr>
              <w:t>2</w:t>
            </w:r>
            <w:r w:rsidRPr="00303A49">
              <w:rPr>
                <w:rFonts w:ascii="Calibri" w:eastAsia="Calibri" w:hAnsi="Calibri" w:cs="Times New Roman"/>
                <w:sz w:val="24"/>
                <w:szCs w:val="24"/>
              </w:rPr>
              <w:t>,</w:t>
            </w:r>
            <w:r w:rsidRPr="00303A49">
              <w:rPr>
                <w:rFonts w:ascii="Calibri" w:eastAsia="Calibri" w:hAnsi="Calibri" w:cs="Times New Roman"/>
                <w:sz w:val="24"/>
                <w:szCs w:val="24"/>
                <w:lang w:val="en-US"/>
              </w:rPr>
              <w:t>285</w:t>
            </w:r>
          </w:p>
        </w:tc>
        <w:tc>
          <w:tcPr>
            <w:tcW w:w="1046" w:type="dxa"/>
            <w:shd w:val="clear" w:color="auto" w:fill="auto"/>
            <w:vAlign w:val="center"/>
          </w:tcPr>
          <w:p w:rsidR="009458A6" w:rsidRPr="00303A49" w:rsidRDefault="009458A6" w:rsidP="009458A6">
            <w:pPr>
              <w:tabs>
                <w:tab w:val="left" w:pos="5940"/>
              </w:tabs>
              <w:jc w:val="right"/>
              <w:rPr>
                <w:rFonts w:ascii="Calibri" w:eastAsia="Calibri" w:hAnsi="Calibri" w:cs="Times New Roman"/>
                <w:sz w:val="24"/>
                <w:szCs w:val="24"/>
                <w:lang w:val="en-US"/>
              </w:rPr>
            </w:pPr>
            <w:r w:rsidRPr="00303A49">
              <w:rPr>
                <w:rFonts w:ascii="Calibri" w:eastAsia="Calibri" w:hAnsi="Calibri" w:cs="Times New Roman"/>
                <w:sz w:val="24"/>
                <w:szCs w:val="24"/>
                <w:lang w:val="en-US"/>
              </w:rPr>
              <w:t>2,215</w:t>
            </w:r>
          </w:p>
        </w:tc>
        <w:tc>
          <w:tcPr>
            <w:tcW w:w="1046" w:type="dxa"/>
            <w:shd w:val="clear" w:color="auto" w:fill="auto"/>
            <w:noWrap/>
            <w:vAlign w:val="center"/>
            <w:hideMark/>
          </w:tcPr>
          <w:p w:rsidR="009458A6" w:rsidRPr="00303A49" w:rsidRDefault="009458A6" w:rsidP="009458A6">
            <w:pPr>
              <w:tabs>
                <w:tab w:val="left" w:pos="5940"/>
              </w:tabs>
              <w:jc w:val="right"/>
              <w:rPr>
                <w:rFonts w:ascii="Calibri" w:eastAsia="Calibri" w:hAnsi="Calibri" w:cs="Times New Roman"/>
                <w:sz w:val="24"/>
                <w:szCs w:val="24"/>
              </w:rPr>
            </w:pPr>
            <w:r w:rsidRPr="00303A49">
              <w:rPr>
                <w:rFonts w:ascii="Calibri" w:eastAsia="Calibri" w:hAnsi="Calibri" w:cs="Times New Roman"/>
                <w:sz w:val="24"/>
                <w:szCs w:val="24"/>
              </w:rPr>
              <w:t>2,151</w:t>
            </w:r>
          </w:p>
        </w:tc>
        <w:tc>
          <w:tcPr>
            <w:tcW w:w="1047" w:type="dxa"/>
            <w:shd w:val="clear" w:color="auto" w:fill="auto"/>
            <w:vAlign w:val="center"/>
          </w:tcPr>
          <w:p w:rsidR="009458A6" w:rsidRPr="00303A49" w:rsidRDefault="009458A6" w:rsidP="009458A6">
            <w:pPr>
              <w:tabs>
                <w:tab w:val="left" w:pos="5940"/>
              </w:tabs>
              <w:jc w:val="right"/>
              <w:rPr>
                <w:rFonts w:ascii="Calibri" w:eastAsia="Calibri" w:hAnsi="Calibri" w:cs="Times New Roman"/>
                <w:sz w:val="24"/>
                <w:szCs w:val="24"/>
              </w:rPr>
            </w:pPr>
            <w:r w:rsidRPr="00303A49">
              <w:rPr>
                <w:rFonts w:ascii="Calibri" w:eastAsia="Calibri" w:hAnsi="Calibri" w:cs="Times New Roman"/>
                <w:sz w:val="24"/>
                <w:szCs w:val="24"/>
              </w:rPr>
              <w:t>2,361</w:t>
            </w:r>
          </w:p>
        </w:tc>
        <w:tc>
          <w:tcPr>
            <w:tcW w:w="1046"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2,288</w:t>
            </w:r>
          </w:p>
        </w:tc>
        <w:tc>
          <w:tcPr>
            <w:tcW w:w="1044"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2,217</w:t>
            </w:r>
          </w:p>
        </w:tc>
        <w:tc>
          <w:tcPr>
            <w:tcW w:w="1114"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2,306</w:t>
            </w:r>
          </w:p>
        </w:tc>
      </w:tr>
      <w:tr w:rsidR="009458A6" w:rsidRPr="00963530" w:rsidTr="009458A6">
        <w:trPr>
          <w:trHeight w:val="1146"/>
        </w:trPr>
        <w:tc>
          <w:tcPr>
            <w:tcW w:w="2358" w:type="dxa"/>
            <w:shd w:val="clear" w:color="auto" w:fill="auto"/>
            <w:noWrap/>
            <w:vAlign w:val="center"/>
            <w:hideMark/>
          </w:tcPr>
          <w:p w:rsidR="009458A6" w:rsidRPr="00303A49" w:rsidRDefault="009458A6" w:rsidP="009458A6">
            <w:pPr>
              <w:tabs>
                <w:tab w:val="left" w:pos="5940"/>
              </w:tabs>
              <w:rPr>
                <w:rFonts w:ascii="Calibri" w:eastAsia="Calibri" w:hAnsi="Calibri" w:cs="Times New Roman"/>
                <w:b/>
                <w:i/>
                <w:lang w:val="en-US"/>
              </w:rPr>
            </w:pPr>
            <w:r w:rsidRPr="00303A49">
              <w:rPr>
                <w:rFonts w:ascii="Calibri" w:eastAsia="Calibri" w:hAnsi="Calibri" w:cs="Times New Roman"/>
                <w:b/>
                <w:i/>
              </w:rPr>
              <w:t>Даватели на поштенски услуги на слободниот поштенски пазар</w:t>
            </w:r>
          </w:p>
        </w:tc>
        <w:tc>
          <w:tcPr>
            <w:tcW w:w="1046" w:type="dxa"/>
            <w:shd w:val="clear" w:color="auto" w:fill="auto"/>
            <w:noWrap/>
            <w:vAlign w:val="center"/>
            <w:hideMark/>
          </w:tcPr>
          <w:p w:rsidR="009458A6" w:rsidRPr="00303A49" w:rsidRDefault="009458A6" w:rsidP="009458A6">
            <w:pPr>
              <w:tabs>
                <w:tab w:val="left" w:pos="5940"/>
              </w:tabs>
              <w:jc w:val="right"/>
              <w:rPr>
                <w:rFonts w:ascii="Calibri" w:eastAsia="Calibri" w:hAnsi="Calibri" w:cs="Times New Roman"/>
                <w:sz w:val="24"/>
                <w:szCs w:val="24"/>
              </w:rPr>
            </w:pPr>
            <w:r w:rsidRPr="00303A49">
              <w:rPr>
                <w:rFonts w:ascii="Calibri" w:eastAsia="Calibri" w:hAnsi="Calibri" w:cs="Times New Roman"/>
                <w:sz w:val="24"/>
                <w:szCs w:val="24"/>
              </w:rPr>
              <w:t>186</w:t>
            </w:r>
          </w:p>
        </w:tc>
        <w:tc>
          <w:tcPr>
            <w:tcW w:w="1046" w:type="dxa"/>
            <w:shd w:val="clear" w:color="auto" w:fill="auto"/>
            <w:vAlign w:val="center"/>
          </w:tcPr>
          <w:p w:rsidR="009458A6" w:rsidRPr="00303A49" w:rsidRDefault="009458A6" w:rsidP="009458A6">
            <w:pPr>
              <w:tabs>
                <w:tab w:val="left" w:pos="5940"/>
              </w:tabs>
              <w:jc w:val="right"/>
              <w:rPr>
                <w:rFonts w:ascii="Calibri" w:eastAsia="Calibri" w:hAnsi="Calibri" w:cs="Times New Roman"/>
                <w:sz w:val="24"/>
                <w:szCs w:val="24"/>
                <w:lang w:val="en-US"/>
              </w:rPr>
            </w:pPr>
            <w:r w:rsidRPr="00303A49">
              <w:rPr>
                <w:rFonts w:ascii="Calibri" w:eastAsia="Calibri" w:hAnsi="Calibri" w:cs="Times New Roman"/>
                <w:sz w:val="24"/>
                <w:szCs w:val="24"/>
                <w:lang w:val="en-US"/>
              </w:rPr>
              <w:t>258</w:t>
            </w:r>
          </w:p>
        </w:tc>
        <w:tc>
          <w:tcPr>
            <w:tcW w:w="1046" w:type="dxa"/>
            <w:shd w:val="clear" w:color="auto" w:fill="auto"/>
            <w:noWrap/>
            <w:vAlign w:val="center"/>
            <w:hideMark/>
          </w:tcPr>
          <w:p w:rsidR="009458A6" w:rsidRPr="00303A49" w:rsidRDefault="009458A6" w:rsidP="009458A6">
            <w:pPr>
              <w:tabs>
                <w:tab w:val="left" w:pos="5940"/>
              </w:tabs>
              <w:jc w:val="right"/>
              <w:rPr>
                <w:rFonts w:ascii="Calibri" w:eastAsia="Calibri" w:hAnsi="Calibri" w:cs="Times New Roman"/>
                <w:sz w:val="24"/>
                <w:szCs w:val="24"/>
              </w:rPr>
            </w:pPr>
            <w:r w:rsidRPr="00303A49">
              <w:rPr>
                <w:rFonts w:ascii="Calibri" w:eastAsia="Calibri" w:hAnsi="Calibri" w:cs="Times New Roman"/>
                <w:sz w:val="24"/>
                <w:szCs w:val="24"/>
              </w:rPr>
              <w:t>239</w:t>
            </w:r>
          </w:p>
        </w:tc>
        <w:tc>
          <w:tcPr>
            <w:tcW w:w="1047" w:type="dxa"/>
            <w:shd w:val="clear" w:color="auto" w:fill="auto"/>
            <w:vAlign w:val="center"/>
          </w:tcPr>
          <w:p w:rsidR="009458A6" w:rsidRPr="00303A49" w:rsidRDefault="009458A6" w:rsidP="009458A6">
            <w:pPr>
              <w:tabs>
                <w:tab w:val="left" w:pos="5940"/>
              </w:tabs>
              <w:jc w:val="right"/>
              <w:rPr>
                <w:rFonts w:ascii="Calibri" w:eastAsia="Calibri" w:hAnsi="Calibri" w:cs="Times New Roman"/>
                <w:sz w:val="24"/>
                <w:szCs w:val="24"/>
              </w:rPr>
            </w:pPr>
            <w:r w:rsidRPr="00303A49">
              <w:rPr>
                <w:rFonts w:ascii="Calibri" w:eastAsia="Calibri" w:hAnsi="Calibri" w:cs="Times New Roman"/>
                <w:sz w:val="24"/>
                <w:szCs w:val="24"/>
              </w:rPr>
              <w:t>314</w:t>
            </w:r>
          </w:p>
        </w:tc>
        <w:tc>
          <w:tcPr>
            <w:tcW w:w="1046"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381</w:t>
            </w:r>
          </w:p>
        </w:tc>
        <w:tc>
          <w:tcPr>
            <w:tcW w:w="1044"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466</w:t>
            </w:r>
          </w:p>
        </w:tc>
        <w:tc>
          <w:tcPr>
            <w:tcW w:w="1114" w:type="dxa"/>
            <w:shd w:val="clear" w:color="auto" w:fill="auto"/>
            <w:vAlign w:val="center"/>
          </w:tcPr>
          <w:p w:rsidR="009458A6" w:rsidRPr="00303A49" w:rsidRDefault="009458A6" w:rsidP="009458A6">
            <w:pPr>
              <w:jc w:val="right"/>
              <w:rPr>
                <w:rFonts w:ascii="Calibri" w:eastAsia="Calibri" w:hAnsi="Calibri" w:cs="Times New Roman"/>
                <w:sz w:val="24"/>
                <w:szCs w:val="24"/>
              </w:rPr>
            </w:pPr>
            <w:r w:rsidRPr="00303A49">
              <w:rPr>
                <w:rFonts w:ascii="Calibri" w:eastAsia="Calibri" w:hAnsi="Calibri" w:cs="Times New Roman"/>
                <w:sz w:val="24"/>
                <w:szCs w:val="24"/>
              </w:rPr>
              <w:t>534</w:t>
            </w:r>
          </w:p>
        </w:tc>
      </w:tr>
    </w:tbl>
    <w:p w:rsidR="0053745B" w:rsidRDefault="0053745B" w:rsidP="0053745B">
      <w:pPr>
        <w:tabs>
          <w:tab w:val="left" w:pos="4320"/>
        </w:tabs>
        <w:rPr>
          <w:sz w:val="24"/>
          <w:szCs w:val="24"/>
        </w:rPr>
      </w:pPr>
      <w:r>
        <w:rPr>
          <w:sz w:val="24"/>
          <w:szCs w:val="24"/>
        </w:rPr>
        <w:tab/>
      </w:r>
    </w:p>
    <w:p w:rsidR="0030275C" w:rsidRPr="00985795" w:rsidRDefault="0030275C" w:rsidP="004A33C5">
      <w:pPr>
        <w:tabs>
          <w:tab w:val="left" w:pos="4320"/>
        </w:tabs>
        <w:spacing w:after="0"/>
        <w:jc w:val="center"/>
        <w:rPr>
          <w:i/>
          <w:iCs/>
          <w:sz w:val="24"/>
          <w:szCs w:val="24"/>
          <w:lang w:val="en-US"/>
        </w:rPr>
      </w:pPr>
      <w:r w:rsidRPr="00985795">
        <w:rPr>
          <w:i/>
          <w:sz w:val="24"/>
          <w:szCs w:val="24"/>
        </w:rPr>
        <w:t xml:space="preserve">Слика 2: </w:t>
      </w:r>
      <w:r w:rsidRPr="00985795">
        <w:rPr>
          <w:i/>
          <w:iCs/>
          <w:sz w:val="24"/>
          <w:szCs w:val="24"/>
        </w:rPr>
        <w:t>Број на вработени во поштенскиот сектор</w:t>
      </w:r>
      <w:r w:rsidRPr="00985795">
        <w:rPr>
          <w:i/>
          <w:iCs/>
          <w:sz w:val="24"/>
          <w:szCs w:val="24"/>
          <w:lang w:val="en-US"/>
        </w:rPr>
        <w:t xml:space="preserve"> </w:t>
      </w:r>
      <w:r w:rsidRPr="00985795">
        <w:rPr>
          <w:i/>
          <w:iCs/>
          <w:sz w:val="24"/>
          <w:szCs w:val="24"/>
        </w:rPr>
        <w:t>во Македонска пошта и кај давателите на поштенските услуги на слободниот пазар – 2014 год.</w:t>
      </w:r>
    </w:p>
    <w:p w:rsidR="0053745B" w:rsidRDefault="0053745B" w:rsidP="004A33C5">
      <w:pPr>
        <w:tabs>
          <w:tab w:val="left" w:pos="4320"/>
        </w:tabs>
        <w:spacing w:after="0"/>
        <w:rPr>
          <w:sz w:val="24"/>
          <w:szCs w:val="24"/>
        </w:rPr>
      </w:pPr>
    </w:p>
    <w:p w:rsidR="00173A37" w:rsidRPr="00173A37" w:rsidRDefault="00725869" w:rsidP="00725869">
      <w:pPr>
        <w:tabs>
          <w:tab w:val="left" w:pos="1767"/>
        </w:tabs>
        <w:jc w:val="center"/>
        <w:rPr>
          <w:sz w:val="32"/>
          <w:szCs w:val="32"/>
        </w:rPr>
      </w:pPr>
      <w:r>
        <w:rPr>
          <w:noProof/>
          <w:sz w:val="24"/>
          <w:szCs w:val="24"/>
          <w:lang w:eastAsia="mk-MK"/>
        </w:rPr>
        <w:drawing>
          <wp:inline distT="0" distB="0" distL="0" distR="0" wp14:anchorId="42F32D9C" wp14:editId="06298222">
            <wp:extent cx="5848350" cy="3190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7486" w:rsidRDefault="00B97486" w:rsidP="00B97486">
      <w:pPr>
        <w:tabs>
          <w:tab w:val="left" w:pos="1767"/>
        </w:tabs>
        <w:rPr>
          <w:b/>
          <w:sz w:val="32"/>
          <w:szCs w:val="32"/>
        </w:rPr>
      </w:pPr>
    </w:p>
    <w:p w:rsidR="0095661F" w:rsidRDefault="0095661F" w:rsidP="004A33C5">
      <w:pPr>
        <w:tabs>
          <w:tab w:val="left" w:pos="1767"/>
        </w:tabs>
        <w:ind w:firstLine="851"/>
        <w:rPr>
          <w:b/>
          <w:i/>
          <w:sz w:val="24"/>
          <w:szCs w:val="24"/>
          <w:u w:val="single"/>
        </w:rPr>
      </w:pPr>
      <w:r w:rsidRPr="004A33C5">
        <w:rPr>
          <w:b/>
          <w:i/>
          <w:sz w:val="24"/>
          <w:szCs w:val="24"/>
          <w:u w:val="single"/>
        </w:rPr>
        <w:t xml:space="preserve">Бројот на вработените во поштенскиот сектор изнесува вкупно  </w:t>
      </w:r>
      <w:r w:rsidR="009C160B" w:rsidRPr="009C160B">
        <w:rPr>
          <w:b/>
          <w:i/>
          <w:sz w:val="24"/>
          <w:szCs w:val="24"/>
          <w:u w:val="single"/>
          <w:lang w:val="en-US"/>
        </w:rPr>
        <w:t>0.4</w:t>
      </w:r>
      <w:r w:rsidRPr="009C160B">
        <w:rPr>
          <w:b/>
          <w:i/>
          <w:sz w:val="24"/>
          <w:szCs w:val="24"/>
          <w:u w:val="single"/>
        </w:rPr>
        <w:t xml:space="preserve"> % </w:t>
      </w:r>
      <w:r w:rsidRPr="004A33C5">
        <w:rPr>
          <w:b/>
          <w:i/>
          <w:sz w:val="24"/>
          <w:szCs w:val="24"/>
          <w:u w:val="single"/>
        </w:rPr>
        <w:t xml:space="preserve">од вкупниот број на вработени лица во Република Македонија. </w:t>
      </w:r>
    </w:p>
    <w:p w:rsidR="004A33C5" w:rsidRDefault="004A33C5" w:rsidP="004A33C5">
      <w:pPr>
        <w:tabs>
          <w:tab w:val="left" w:pos="1767"/>
        </w:tabs>
        <w:ind w:firstLine="851"/>
        <w:rPr>
          <w:b/>
          <w:i/>
          <w:sz w:val="24"/>
          <w:szCs w:val="24"/>
          <w:u w:val="single"/>
          <w:lang w:val="en-US"/>
        </w:rPr>
      </w:pPr>
    </w:p>
    <w:p w:rsidR="00422FC2" w:rsidRPr="00422FC2" w:rsidRDefault="00422FC2" w:rsidP="004A33C5">
      <w:pPr>
        <w:tabs>
          <w:tab w:val="left" w:pos="1767"/>
        </w:tabs>
        <w:ind w:firstLine="851"/>
        <w:rPr>
          <w:b/>
          <w:i/>
          <w:sz w:val="24"/>
          <w:szCs w:val="24"/>
          <w:u w:val="single"/>
          <w:lang w:val="en-US"/>
        </w:rPr>
      </w:pPr>
    </w:p>
    <w:p w:rsidR="0053745B" w:rsidRPr="007A698D" w:rsidRDefault="0030275C" w:rsidP="004A33C5">
      <w:pPr>
        <w:tabs>
          <w:tab w:val="left" w:pos="5940"/>
        </w:tabs>
        <w:spacing w:after="0"/>
        <w:ind w:right="237"/>
        <w:jc w:val="center"/>
        <w:rPr>
          <w:i/>
          <w:sz w:val="24"/>
          <w:szCs w:val="24"/>
        </w:rPr>
      </w:pPr>
      <w:r w:rsidRPr="0030275C">
        <w:rPr>
          <w:i/>
          <w:sz w:val="24"/>
          <w:szCs w:val="24"/>
        </w:rPr>
        <w:lastRenderedPageBreak/>
        <w:t>Слика 3: Број на вработени во Македонска пошта - 2004/2014 година</w:t>
      </w:r>
    </w:p>
    <w:p w:rsidR="00B97486" w:rsidRPr="004A33C5" w:rsidRDefault="0030275C" w:rsidP="004A33C5">
      <w:pPr>
        <w:tabs>
          <w:tab w:val="left" w:pos="1767"/>
        </w:tabs>
        <w:rPr>
          <w:b/>
          <w:sz w:val="32"/>
          <w:szCs w:val="32"/>
        </w:rPr>
      </w:pPr>
      <w:r w:rsidRPr="00615A05">
        <w:rPr>
          <w:b/>
          <w:noProof/>
          <w:color w:val="00B0F0"/>
          <w:lang w:eastAsia="mk-MK"/>
        </w:rPr>
        <w:drawing>
          <wp:inline distT="0" distB="0" distL="0" distR="0" wp14:anchorId="526997D2" wp14:editId="37F232F9">
            <wp:extent cx="5981700" cy="3076575"/>
            <wp:effectExtent l="0" t="0" r="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2248" w:rsidRDefault="007D2248" w:rsidP="004A33C5">
      <w:pPr>
        <w:tabs>
          <w:tab w:val="right" w:pos="9026"/>
        </w:tabs>
        <w:spacing w:after="0"/>
        <w:ind w:right="237"/>
        <w:jc w:val="center"/>
        <w:rPr>
          <w:i/>
          <w:sz w:val="24"/>
          <w:szCs w:val="24"/>
        </w:rPr>
      </w:pPr>
      <w:r w:rsidRPr="007D2248">
        <w:rPr>
          <w:i/>
          <w:sz w:val="24"/>
          <w:szCs w:val="24"/>
        </w:rPr>
        <w:t>Слика 4: Број на вработени кај давателите на поштенски услуги на слободниот поштенски пазар</w:t>
      </w:r>
    </w:p>
    <w:p w:rsidR="001C7DBD" w:rsidRDefault="001C7DBD" w:rsidP="007D2248">
      <w:pPr>
        <w:tabs>
          <w:tab w:val="right" w:pos="9026"/>
        </w:tabs>
        <w:spacing w:after="0"/>
        <w:ind w:right="237"/>
        <w:jc w:val="both"/>
        <w:rPr>
          <w:i/>
          <w:sz w:val="24"/>
          <w:szCs w:val="24"/>
        </w:rPr>
      </w:pPr>
    </w:p>
    <w:p w:rsidR="007D2248" w:rsidRPr="007D2248" w:rsidRDefault="007D2248" w:rsidP="007D2248">
      <w:pPr>
        <w:tabs>
          <w:tab w:val="right" w:pos="9026"/>
        </w:tabs>
        <w:spacing w:after="0"/>
        <w:ind w:right="237"/>
        <w:jc w:val="both"/>
        <w:rPr>
          <w:i/>
          <w:sz w:val="24"/>
          <w:szCs w:val="24"/>
        </w:rPr>
      </w:pPr>
      <w:r>
        <w:rPr>
          <w:noProof/>
          <w:lang w:eastAsia="mk-MK"/>
        </w:rPr>
        <w:drawing>
          <wp:inline distT="0" distB="0" distL="0" distR="0" wp14:anchorId="77343A67" wp14:editId="29B16EBD">
            <wp:extent cx="5915025" cy="35909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33C5" w:rsidRDefault="004A33C5" w:rsidP="00B97486">
      <w:pPr>
        <w:rPr>
          <w:sz w:val="32"/>
          <w:szCs w:val="32"/>
          <w:lang w:val="en-US"/>
        </w:rPr>
      </w:pPr>
    </w:p>
    <w:p w:rsidR="00422FC2" w:rsidRDefault="00422FC2" w:rsidP="00B97486">
      <w:pPr>
        <w:rPr>
          <w:sz w:val="32"/>
          <w:szCs w:val="32"/>
          <w:lang w:val="en-US"/>
        </w:rPr>
      </w:pPr>
    </w:p>
    <w:p w:rsidR="00422FC2" w:rsidRPr="00422FC2" w:rsidRDefault="00422FC2" w:rsidP="00B97486">
      <w:pPr>
        <w:rPr>
          <w:sz w:val="32"/>
          <w:szCs w:val="32"/>
          <w:lang w:val="en-US"/>
        </w:rPr>
      </w:pPr>
    </w:p>
    <w:p w:rsidR="00BB0562" w:rsidRPr="004A33C5" w:rsidRDefault="00BB0562" w:rsidP="004A33C5">
      <w:pPr>
        <w:pStyle w:val="ListParagraph"/>
        <w:numPr>
          <w:ilvl w:val="0"/>
          <w:numId w:val="1"/>
        </w:numPr>
        <w:ind w:right="237"/>
        <w:rPr>
          <w:b/>
          <w:i/>
          <w:sz w:val="24"/>
          <w:szCs w:val="24"/>
          <w:u w:val="single"/>
        </w:rPr>
      </w:pPr>
      <w:r w:rsidRPr="004A33C5">
        <w:rPr>
          <w:b/>
          <w:i/>
          <w:sz w:val="24"/>
          <w:szCs w:val="24"/>
          <w:u w:val="single"/>
        </w:rPr>
        <w:lastRenderedPageBreak/>
        <w:t xml:space="preserve">Вкупен обем на поштенскиот пазар </w:t>
      </w:r>
    </w:p>
    <w:p w:rsidR="004A33C5" w:rsidRDefault="004A33C5" w:rsidP="004A33C5">
      <w:pPr>
        <w:ind w:right="237"/>
        <w:contextualSpacing/>
        <w:jc w:val="both"/>
        <w:rPr>
          <w:b/>
          <w:i/>
          <w:sz w:val="32"/>
          <w:szCs w:val="32"/>
          <w:u w:val="single"/>
        </w:rPr>
      </w:pPr>
    </w:p>
    <w:p w:rsidR="00BB0562" w:rsidRPr="00BB0562" w:rsidRDefault="00BB0562" w:rsidP="004A33C5">
      <w:pPr>
        <w:ind w:right="237" w:firstLine="851"/>
        <w:contextualSpacing/>
        <w:jc w:val="both"/>
        <w:rPr>
          <w:sz w:val="24"/>
          <w:szCs w:val="24"/>
        </w:rPr>
      </w:pPr>
      <w:r w:rsidRPr="00BB0562">
        <w:rPr>
          <w:sz w:val="24"/>
          <w:szCs w:val="24"/>
        </w:rPr>
        <w:t>Обемот на поштенскиот пазар</w:t>
      </w:r>
      <w:r w:rsidR="004A33C5">
        <w:rPr>
          <w:sz w:val="24"/>
          <w:szCs w:val="24"/>
        </w:rPr>
        <w:t xml:space="preserve"> во Република Македонија во 2014</w:t>
      </w:r>
      <w:r w:rsidRPr="00BB0562">
        <w:rPr>
          <w:sz w:val="24"/>
          <w:szCs w:val="24"/>
        </w:rPr>
        <w:t xml:space="preserve"> година изнесува </w:t>
      </w:r>
      <w:r w:rsidR="00940FEF">
        <w:rPr>
          <w:rFonts w:ascii="Calibri" w:eastAsia="Times New Roman" w:hAnsi="Calibri" w:cs="Times New Roman"/>
          <w:sz w:val="24"/>
          <w:szCs w:val="24"/>
          <w:lang w:eastAsia="mk-MK"/>
        </w:rPr>
        <w:t>49,906,786</w:t>
      </w:r>
      <w:r w:rsidRPr="00BB0562">
        <w:rPr>
          <w:rFonts w:ascii="Calibri" w:eastAsia="Times New Roman" w:hAnsi="Calibri" w:cs="Times New Roman"/>
          <w:b/>
          <w:sz w:val="24"/>
          <w:szCs w:val="24"/>
          <w:lang w:val="en-US" w:eastAsia="mk-MK"/>
        </w:rPr>
        <w:t xml:space="preserve"> </w:t>
      </w:r>
      <w:r w:rsidRPr="00BB0562">
        <w:rPr>
          <w:sz w:val="24"/>
          <w:szCs w:val="24"/>
        </w:rPr>
        <w:t xml:space="preserve">милиони поштенски пратки податок кој сметајќи на ниво на вкупниот пазар изнесува намалување од </w:t>
      </w:r>
      <w:r w:rsidR="00940FEF">
        <w:rPr>
          <w:sz w:val="24"/>
          <w:szCs w:val="24"/>
        </w:rPr>
        <w:t>2,3</w:t>
      </w:r>
      <w:r w:rsidRPr="00BB0562">
        <w:rPr>
          <w:sz w:val="24"/>
          <w:szCs w:val="24"/>
          <w:lang w:val="en-US"/>
        </w:rPr>
        <w:t xml:space="preserve"> </w:t>
      </w:r>
      <w:r w:rsidRPr="00BB0562">
        <w:rPr>
          <w:sz w:val="24"/>
          <w:szCs w:val="24"/>
        </w:rPr>
        <w:t>% во споредба со 201</w:t>
      </w:r>
      <w:r w:rsidR="00940FEF">
        <w:rPr>
          <w:sz w:val="24"/>
          <w:szCs w:val="24"/>
        </w:rPr>
        <w:t>3</w:t>
      </w:r>
      <w:r w:rsidRPr="00BB0562">
        <w:rPr>
          <w:sz w:val="24"/>
          <w:szCs w:val="24"/>
        </w:rPr>
        <w:t xml:space="preserve"> година. Но, забележително е дека ова процентот на намалување на вкупниот обем е резултат на намалувањето на обемот кај Македонска пошта, додека кај давателите на слободниот</w:t>
      </w:r>
      <w:r w:rsidR="00940FEF">
        <w:rPr>
          <w:sz w:val="24"/>
          <w:szCs w:val="24"/>
        </w:rPr>
        <w:t xml:space="preserve"> пазар </w:t>
      </w:r>
      <w:r w:rsidRPr="00BB0562">
        <w:rPr>
          <w:sz w:val="24"/>
          <w:szCs w:val="24"/>
        </w:rPr>
        <w:t xml:space="preserve">се забележува зголемување од </w:t>
      </w:r>
      <w:r w:rsidR="00940FEF">
        <w:rPr>
          <w:sz w:val="24"/>
          <w:szCs w:val="24"/>
        </w:rPr>
        <w:t>19,3</w:t>
      </w:r>
      <w:r w:rsidRPr="00BB0562">
        <w:rPr>
          <w:sz w:val="24"/>
          <w:szCs w:val="24"/>
        </w:rPr>
        <w:t xml:space="preserve"> % на вкупниот обем на поштенски пратки.</w:t>
      </w:r>
    </w:p>
    <w:p w:rsidR="009C2946" w:rsidRDefault="009C2946" w:rsidP="00BB0562">
      <w:pPr>
        <w:ind w:right="237"/>
        <w:rPr>
          <w:b/>
          <w:i/>
          <w:sz w:val="32"/>
          <w:szCs w:val="32"/>
          <w:u w:val="single"/>
        </w:rPr>
      </w:pPr>
    </w:p>
    <w:p w:rsidR="009C2946" w:rsidRDefault="009C2946" w:rsidP="004A33C5">
      <w:pPr>
        <w:ind w:right="237"/>
        <w:contextualSpacing/>
        <w:jc w:val="center"/>
        <w:rPr>
          <w:rFonts w:ascii="Calibri" w:eastAsia="Times New Roman" w:hAnsi="Calibri" w:cs="Times New Roman"/>
          <w:i/>
          <w:sz w:val="24"/>
          <w:szCs w:val="24"/>
          <w:lang w:eastAsia="mk-MK"/>
        </w:rPr>
      </w:pPr>
      <w:r w:rsidRPr="009C2946">
        <w:rPr>
          <w:rFonts w:ascii="Calibri" w:eastAsia="Times New Roman" w:hAnsi="Calibri" w:cs="Times New Roman"/>
          <w:i/>
          <w:sz w:val="24"/>
          <w:szCs w:val="24"/>
          <w:lang w:eastAsia="mk-MK"/>
        </w:rPr>
        <w:t>Слика 5: Вкупен обем на поштенскиот пазар</w:t>
      </w:r>
      <w:r>
        <w:rPr>
          <w:rFonts w:ascii="Calibri" w:eastAsia="Times New Roman" w:hAnsi="Calibri" w:cs="Times New Roman"/>
          <w:i/>
          <w:sz w:val="24"/>
          <w:szCs w:val="24"/>
          <w:lang w:eastAsia="mk-MK"/>
        </w:rPr>
        <w:t xml:space="preserve"> 2014/2013</w:t>
      </w:r>
      <w:r w:rsidRPr="009C2946">
        <w:rPr>
          <w:rFonts w:ascii="Calibri" w:eastAsia="Times New Roman" w:hAnsi="Calibri" w:cs="Times New Roman"/>
          <w:i/>
          <w:sz w:val="24"/>
          <w:szCs w:val="24"/>
          <w:lang w:eastAsia="mk-MK"/>
        </w:rPr>
        <w:t xml:space="preserve"> година</w:t>
      </w:r>
    </w:p>
    <w:p w:rsidR="009C2946" w:rsidRDefault="009C2946" w:rsidP="009C2946">
      <w:pPr>
        <w:ind w:right="237"/>
        <w:contextualSpacing/>
        <w:jc w:val="both"/>
        <w:rPr>
          <w:rFonts w:ascii="Calibri" w:eastAsia="Times New Roman" w:hAnsi="Calibri" w:cs="Times New Roman"/>
          <w:i/>
          <w:sz w:val="24"/>
          <w:szCs w:val="24"/>
          <w:lang w:eastAsia="mk-MK"/>
        </w:rPr>
      </w:pPr>
    </w:p>
    <w:tbl>
      <w:tblPr>
        <w:tblStyle w:val="TableGrid1"/>
        <w:tblW w:w="8832" w:type="dxa"/>
        <w:jc w:val="center"/>
        <w:tblInd w:w="-5308" w:type="dxa"/>
        <w:tblLook w:val="04A0" w:firstRow="1" w:lastRow="0" w:firstColumn="1" w:lastColumn="0" w:noHBand="0" w:noVBand="1"/>
      </w:tblPr>
      <w:tblGrid>
        <w:gridCol w:w="3839"/>
        <w:gridCol w:w="2410"/>
        <w:gridCol w:w="2583"/>
      </w:tblGrid>
      <w:tr w:rsidR="009C2946" w:rsidRPr="009C2946" w:rsidTr="009C2946">
        <w:trPr>
          <w:jc w:val="center"/>
        </w:trPr>
        <w:tc>
          <w:tcPr>
            <w:tcW w:w="3839" w:type="dxa"/>
            <w:shd w:val="clear" w:color="auto" w:fill="DA105D"/>
          </w:tcPr>
          <w:p w:rsidR="009C2946" w:rsidRPr="009C2946" w:rsidRDefault="009C2946" w:rsidP="009C2946">
            <w:pPr>
              <w:ind w:left="-500" w:right="237"/>
              <w:jc w:val="center"/>
              <w:rPr>
                <w:rFonts w:ascii="Calibri" w:eastAsia="Calibri" w:hAnsi="Calibri" w:cs="Times New Roman"/>
                <w:b/>
                <w:color w:val="FFFFFF" w:themeColor="background1"/>
                <w:sz w:val="28"/>
                <w:szCs w:val="28"/>
              </w:rPr>
            </w:pPr>
          </w:p>
        </w:tc>
        <w:tc>
          <w:tcPr>
            <w:tcW w:w="2410" w:type="dxa"/>
            <w:shd w:val="clear" w:color="auto" w:fill="DA105D"/>
          </w:tcPr>
          <w:p w:rsidR="009C2946" w:rsidRPr="009C2946" w:rsidRDefault="009C2946" w:rsidP="009C2946">
            <w:pPr>
              <w:ind w:right="237"/>
              <w:jc w:val="center"/>
              <w:rPr>
                <w:rFonts w:ascii="Calibri" w:eastAsia="Calibri" w:hAnsi="Calibri" w:cs="Times New Roman"/>
                <w:b/>
                <w:color w:val="FFFFFF" w:themeColor="background1"/>
                <w:sz w:val="28"/>
                <w:szCs w:val="28"/>
              </w:rPr>
            </w:pPr>
            <w:r w:rsidRPr="009C2946">
              <w:rPr>
                <w:rFonts w:ascii="Calibri" w:eastAsia="Calibri" w:hAnsi="Calibri" w:cs="Times New Roman"/>
                <w:b/>
                <w:color w:val="FFFFFF" w:themeColor="background1"/>
                <w:sz w:val="28"/>
                <w:szCs w:val="28"/>
                <w:lang w:val="en-US"/>
              </w:rPr>
              <w:t xml:space="preserve">  </w:t>
            </w:r>
            <w:r w:rsidRPr="009C2946">
              <w:rPr>
                <w:rFonts w:ascii="Calibri" w:eastAsia="Calibri" w:hAnsi="Calibri" w:cs="Times New Roman"/>
                <w:b/>
                <w:color w:val="FFFFFF" w:themeColor="background1"/>
                <w:sz w:val="28"/>
                <w:szCs w:val="28"/>
              </w:rPr>
              <w:t>2013 година</w:t>
            </w:r>
          </w:p>
        </w:tc>
        <w:tc>
          <w:tcPr>
            <w:tcW w:w="2583" w:type="dxa"/>
            <w:shd w:val="clear" w:color="auto" w:fill="DA105D"/>
          </w:tcPr>
          <w:p w:rsidR="009C2946" w:rsidRPr="009C2946" w:rsidRDefault="009C2946" w:rsidP="009C2946">
            <w:pPr>
              <w:ind w:right="237"/>
              <w:jc w:val="center"/>
              <w:rPr>
                <w:rFonts w:ascii="Calibri" w:eastAsia="Calibri" w:hAnsi="Calibri" w:cs="Times New Roman"/>
                <w:b/>
                <w:color w:val="FFFFFF" w:themeColor="background1"/>
                <w:sz w:val="28"/>
                <w:szCs w:val="28"/>
              </w:rPr>
            </w:pPr>
            <w:r w:rsidRPr="009C2946">
              <w:rPr>
                <w:rFonts w:ascii="Calibri" w:eastAsia="Calibri" w:hAnsi="Calibri" w:cs="Times New Roman"/>
                <w:b/>
                <w:color w:val="FFFFFF" w:themeColor="background1"/>
                <w:sz w:val="28"/>
                <w:szCs w:val="28"/>
                <w:lang w:val="en-US"/>
              </w:rPr>
              <w:t xml:space="preserve">  </w:t>
            </w:r>
            <w:r w:rsidRPr="00161F87">
              <w:rPr>
                <w:rFonts w:ascii="Calibri" w:eastAsia="Calibri" w:hAnsi="Calibri" w:cs="Times New Roman"/>
                <w:b/>
                <w:color w:val="FFFFFF" w:themeColor="background1"/>
                <w:sz w:val="28"/>
                <w:szCs w:val="28"/>
              </w:rPr>
              <w:t>2014</w:t>
            </w:r>
            <w:r w:rsidRPr="009C2946">
              <w:rPr>
                <w:rFonts w:ascii="Calibri" w:eastAsia="Calibri" w:hAnsi="Calibri" w:cs="Times New Roman"/>
                <w:b/>
                <w:color w:val="FFFFFF" w:themeColor="background1"/>
                <w:sz w:val="28"/>
                <w:szCs w:val="28"/>
              </w:rPr>
              <w:t xml:space="preserve"> година</w:t>
            </w:r>
          </w:p>
        </w:tc>
      </w:tr>
      <w:tr w:rsidR="009C2946" w:rsidRPr="009C2946" w:rsidTr="00170EF8">
        <w:trPr>
          <w:jc w:val="center"/>
        </w:trPr>
        <w:tc>
          <w:tcPr>
            <w:tcW w:w="3839" w:type="dxa"/>
            <w:vAlign w:val="center"/>
          </w:tcPr>
          <w:p w:rsidR="009C2946" w:rsidRPr="009C2946" w:rsidRDefault="009C2946" w:rsidP="009C2946">
            <w:pPr>
              <w:spacing w:before="240"/>
              <w:ind w:right="237"/>
              <w:rPr>
                <w:rFonts w:ascii="Calibri" w:eastAsia="Calibri" w:hAnsi="Calibri" w:cs="Times New Roman"/>
                <w:sz w:val="28"/>
                <w:szCs w:val="28"/>
              </w:rPr>
            </w:pPr>
            <w:r w:rsidRPr="009C2946">
              <w:rPr>
                <w:rFonts w:ascii="Calibri" w:eastAsia="Calibri" w:hAnsi="Calibri" w:cs="Times New Roman"/>
                <w:b/>
                <w:color w:val="000000" w:themeColor="text1"/>
                <w:sz w:val="28"/>
                <w:szCs w:val="28"/>
              </w:rPr>
              <w:t>Македонска пошта</w:t>
            </w:r>
          </w:p>
        </w:tc>
        <w:tc>
          <w:tcPr>
            <w:tcW w:w="2410" w:type="dxa"/>
            <w:vAlign w:val="center"/>
          </w:tcPr>
          <w:p w:rsidR="009C2946" w:rsidRPr="009C2946" w:rsidRDefault="009C2946" w:rsidP="00170EF8">
            <w:pPr>
              <w:spacing w:before="240"/>
              <w:ind w:right="237"/>
              <w:jc w:val="center"/>
              <w:rPr>
                <w:rFonts w:ascii="Calibri" w:eastAsia="Calibri" w:hAnsi="Calibri" w:cs="Times New Roman"/>
                <w:sz w:val="28"/>
                <w:szCs w:val="28"/>
                <w:lang w:val="en-US"/>
              </w:rPr>
            </w:pPr>
            <w:r w:rsidRPr="009C2946">
              <w:rPr>
                <w:rFonts w:ascii="Calibri" w:eastAsia="Calibri" w:hAnsi="Calibri" w:cs="Times New Roman"/>
                <w:sz w:val="28"/>
                <w:szCs w:val="28"/>
                <w:lang w:val="en-US"/>
              </w:rPr>
              <w:t>48,523,908</w:t>
            </w:r>
          </w:p>
        </w:tc>
        <w:tc>
          <w:tcPr>
            <w:tcW w:w="2583" w:type="dxa"/>
            <w:vAlign w:val="center"/>
          </w:tcPr>
          <w:p w:rsidR="009C2946" w:rsidRPr="009C2946" w:rsidRDefault="00BC1BCF" w:rsidP="00BC1BCF">
            <w:pPr>
              <w:rPr>
                <w:rFonts w:ascii="Calibri" w:eastAsia="Times New Roman" w:hAnsi="Calibri" w:cs="Times New Roman"/>
                <w:sz w:val="28"/>
                <w:szCs w:val="28"/>
                <w:lang w:eastAsia="mk-MK"/>
              </w:rPr>
            </w:pPr>
            <w:r>
              <w:rPr>
                <w:rFonts w:ascii="Calibri" w:eastAsia="Times New Roman" w:hAnsi="Calibri" w:cs="Times New Roman"/>
                <w:sz w:val="28"/>
                <w:szCs w:val="28"/>
                <w:lang w:eastAsia="mk-MK"/>
              </w:rPr>
              <w:t xml:space="preserve">       </w:t>
            </w:r>
            <w:r w:rsidR="009C2946">
              <w:rPr>
                <w:rFonts w:ascii="Calibri" w:eastAsia="Times New Roman" w:hAnsi="Calibri" w:cs="Times New Roman"/>
                <w:sz w:val="28"/>
                <w:szCs w:val="28"/>
                <w:lang w:eastAsia="mk-MK"/>
              </w:rPr>
              <w:t>46,843,550</w:t>
            </w:r>
          </w:p>
        </w:tc>
      </w:tr>
      <w:tr w:rsidR="009C2946" w:rsidRPr="009C2946" w:rsidTr="00170EF8">
        <w:trPr>
          <w:trHeight w:val="1267"/>
          <w:jc w:val="center"/>
        </w:trPr>
        <w:tc>
          <w:tcPr>
            <w:tcW w:w="3839" w:type="dxa"/>
            <w:vAlign w:val="center"/>
          </w:tcPr>
          <w:p w:rsidR="009C2946" w:rsidRPr="009C2946" w:rsidRDefault="009C2946" w:rsidP="009C2946">
            <w:pPr>
              <w:spacing w:before="240"/>
              <w:ind w:right="237"/>
              <w:rPr>
                <w:rFonts w:ascii="Calibri" w:eastAsia="Calibri" w:hAnsi="Calibri" w:cs="Times New Roman"/>
                <w:sz w:val="28"/>
                <w:szCs w:val="28"/>
              </w:rPr>
            </w:pPr>
            <w:r w:rsidRPr="009C2946">
              <w:rPr>
                <w:rFonts w:ascii="Calibri" w:eastAsia="Calibri" w:hAnsi="Calibri" w:cs="Times New Roman"/>
                <w:b/>
                <w:color w:val="000000" w:themeColor="text1"/>
                <w:sz w:val="28"/>
                <w:szCs w:val="28"/>
              </w:rPr>
              <w:t>Даватели на поштенски услуги на слободниот пазар</w:t>
            </w:r>
          </w:p>
        </w:tc>
        <w:tc>
          <w:tcPr>
            <w:tcW w:w="2410" w:type="dxa"/>
            <w:vAlign w:val="center"/>
          </w:tcPr>
          <w:p w:rsidR="009C2946" w:rsidRPr="009C2946" w:rsidRDefault="009C2946" w:rsidP="00170EF8">
            <w:pPr>
              <w:spacing w:before="240"/>
              <w:ind w:right="237"/>
              <w:jc w:val="center"/>
              <w:rPr>
                <w:rFonts w:ascii="Calibri" w:eastAsia="Calibri" w:hAnsi="Calibri" w:cs="Times New Roman"/>
                <w:sz w:val="28"/>
                <w:szCs w:val="28"/>
              </w:rPr>
            </w:pPr>
            <w:r w:rsidRPr="009C2946">
              <w:rPr>
                <w:rFonts w:ascii="Calibri" w:eastAsia="Calibri" w:hAnsi="Calibri" w:cs="Times New Roman"/>
                <w:sz w:val="28"/>
                <w:szCs w:val="28"/>
              </w:rPr>
              <w:t>2,565,984</w:t>
            </w:r>
          </w:p>
        </w:tc>
        <w:tc>
          <w:tcPr>
            <w:tcW w:w="2583" w:type="dxa"/>
            <w:vAlign w:val="center"/>
          </w:tcPr>
          <w:p w:rsidR="009C2946" w:rsidRPr="009C2946" w:rsidRDefault="009C2946" w:rsidP="00170EF8">
            <w:pPr>
              <w:spacing w:before="240"/>
              <w:ind w:right="237"/>
              <w:jc w:val="center"/>
              <w:rPr>
                <w:rFonts w:ascii="Calibri" w:eastAsia="Calibri" w:hAnsi="Calibri" w:cs="Times New Roman"/>
                <w:sz w:val="28"/>
                <w:szCs w:val="28"/>
              </w:rPr>
            </w:pPr>
            <w:r w:rsidRPr="009C2946">
              <w:rPr>
                <w:rFonts w:ascii="Calibri" w:eastAsia="Calibri" w:hAnsi="Calibri" w:cs="Times New Roman"/>
                <w:sz w:val="28"/>
                <w:szCs w:val="28"/>
              </w:rPr>
              <w:t>3,063,236</w:t>
            </w:r>
          </w:p>
        </w:tc>
      </w:tr>
      <w:tr w:rsidR="009C2946" w:rsidRPr="009C2946" w:rsidTr="00170EF8">
        <w:trPr>
          <w:jc w:val="center"/>
        </w:trPr>
        <w:tc>
          <w:tcPr>
            <w:tcW w:w="3839" w:type="dxa"/>
            <w:vAlign w:val="center"/>
          </w:tcPr>
          <w:p w:rsidR="009C2946" w:rsidRPr="009C2946" w:rsidRDefault="009C2946" w:rsidP="009C2946">
            <w:pPr>
              <w:spacing w:before="240"/>
              <w:ind w:right="237"/>
              <w:rPr>
                <w:rFonts w:ascii="Calibri" w:eastAsia="Calibri" w:hAnsi="Calibri" w:cs="Times New Roman"/>
                <w:sz w:val="28"/>
                <w:szCs w:val="28"/>
              </w:rPr>
            </w:pPr>
            <w:r w:rsidRPr="009C2946">
              <w:rPr>
                <w:rFonts w:ascii="Calibri" w:eastAsia="Calibri" w:hAnsi="Calibri" w:cs="Times New Roman"/>
                <w:b/>
                <w:color w:val="000000" w:themeColor="text1"/>
                <w:sz w:val="28"/>
                <w:szCs w:val="28"/>
              </w:rPr>
              <w:t>Вкупен обем</w:t>
            </w:r>
          </w:p>
        </w:tc>
        <w:tc>
          <w:tcPr>
            <w:tcW w:w="2410" w:type="dxa"/>
            <w:vAlign w:val="center"/>
          </w:tcPr>
          <w:p w:rsidR="009C2946" w:rsidRPr="009C2946" w:rsidRDefault="009C2946" w:rsidP="00170EF8">
            <w:pPr>
              <w:spacing w:before="240"/>
              <w:ind w:right="237"/>
              <w:jc w:val="center"/>
              <w:rPr>
                <w:rFonts w:ascii="Calibri" w:eastAsia="Calibri" w:hAnsi="Calibri" w:cs="Times New Roman"/>
                <w:sz w:val="28"/>
                <w:szCs w:val="28"/>
                <w:lang w:val="en-US"/>
              </w:rPr>
            </w:pPr>
            <w:r w:rsidRPr="009C2946">
              <w:rPr>
                <w:rFonts w:ascii="Calibri" w:eastAsia="Times New Roman" w:hAnsi="Calibri" w:cs="Times New Roman"/>
                <w:b/>
                <w:sz w:val="28"/>
                <w:szCs w:val="28"/>
                <w:lang w:val="en-US" w:eastAsia="mk-MK"/>
              </w:rPr>
              <w:t>51,089,892</w:t>
            </w:r>
          </w:p>
        </w:tc>
        <w:tc>
          <w:tcPr>
            <w:tcW w:w="2583" w:type="dxa"/>
            <w:vAlign w:val="center"/>
          </w:tcPr>
          <w:p w:rsidR="009C2946" w:rsidRPr="009C2946" w:rsidRDefault="009C2946" w:rsidP="00170EF8">
            <w:pPr>
              <w:spacing w:before="240"/>
              <w:ind w:right="237"/>
              <w:jc w:val="center"/>
              <w:rPr>
                <w:rFonts w:ascii="Calibri" w:eastAsia="Times New Roman" w:hAnsi="Calibri" w:cs="Times New Roman"/>
                <w:b/>
                <w:sz w:val="28"/>
                <w:szCs w:val="28"/>
                <w:lang w:val="en-US" w:eastAsia="mk-MK"/>
              </w:rPr>
            </w:pPr>
            <w:r w:rsidRPr="009C2946">
              <w:rPr>
                <w:rFonts w:ascii="Calibri" w:eastAsia="Times New Roman" w:hAnsi="Calibri" w:cs="Times New Roman"/>
                <w:b/>
                <w:sz w:val="28"/>
                <w:szCs w:val="28"/>
                <w:lang w:eastAsia="mk-MK"/>
              </w:rPr>
              <w:t>49,906,786</w:t>
            </w:r>
          </w:p>
        </w:tc>
      </w:tr>
    </w:tbl>
    <w:p w:rsidR="009C2946" w:rsidRPr="009C2946" w:rsidRDefault="009C2946" w:rsidP="009C2946">
      <w:pPr>
        <w:ind w:right="237"/>
        <w:contextualSpacing/>
        <w:jc w:val="both"/>
        <w:rPr>
          <w:sz w:val="24"/>
          <w:szCs w:val="24"/>
        </w:rPr>
      </w:pPr>
    </w:p>
    <w:p w:rsidR="009C2946" w:rsidRPr="00BB0562" w:rsidRDefault="009C2946" w:rsidP="00BB0562">
      <w:pPr>
        <w:ind w:right="237"/>
        <w:rPr>
          <w:b/>
          <w:i/>
          <w:sz w:val="32"/>
          <w:szCs w:val="32"/>
          <w:u w:val="single"/>
        </w:rPr>
      </w:pPr>
    </w:p>
    <w:p w:rsidR="003233BB" w:rsidRPr="004A33C5" w:rsidRDefault="004A33C5" w:rsidP="003233BB">
      <w:pPr>
        <w:ind w:right="237"/>
        <w:contextualSpacing/>
        <w:rPr>
          <w:b/>
          <w:i/>
          <w:sz w:val="24"/>
          <w:szCs w:val="24"/>
          <w:u w:val="single"/>
        </w:rPr>
      </w:pPr>
      <w:r>
        <w:rPr>
          <w:b/>
          <w:i/>
          <w:sz w:val="24"/>
          <w:szCs w:val="24"/>
          <w:u w:val="single"/>
        </w:rPr>
        <w:t xml:space="preserve">5.1  </w:t>
      </w:r>
      <w:r w:rsidR="003233BB" w:rsidRPr="004A33C5">
        <w:rPr>
          <w:b/>
          <w:i/>
          <w:sz w:val="24"/>
          <w:szCs w:val="24"/>
          <w:u w:val="single"/>
        </w:rPr>
        <w:t>Македонска пошта</w:t>
      </w:r>
    </w:p>
    <w:p w:rsidR="003233BB" w:rsidRDefault="003233BB" w:rsidP="003233BB">
      <w:pPr>
        <w:ind w:right="237"/>
        <w:contextualSpacing/>
        <w:rPr>
          <w:b/>
          <w:i/>
          <w:sz w:val="32"/>
          <w:szCs w:val="32"/>
          <w:u w:val="single"/>
        </w:rPr>
      </w:pPr>
    </w:p>
    <w:p w:rsidR="003233BB" w:rsidRPr="003233BB" w:rsidRDefault="003233BB" w:rsidP="004A33C5">
      <w:pPr>
        <w:ind w:right="237" w:firstLine="851"/>
        <w:contextualSpacing/>
        <w:jc w:val="both"/>
        <w:rPr>
          <w:sz w:val="24"/>
          <w:szCs w:val="24"/>
        </w:rPr>
      </w:pPr>
      <w:r>
        <w:rPr>
          <w:sz w:val="24"/>
          <w:szCs w:val="24"/>
        </w:rPr>
        <w:t>Во текот на 2014</w:t>
      </w:r>
      <w:r w:rsidRPr="003233BB">
        <w:rPr>
          <w:sz w:val="24"/>
          <w:szCs w:val="24"/>
        </w:rPr>
        <w:t xml:space="preserve"> година Македонска пошта остварила вкупен обем од 46,843,550</w:t>
      </w:r>
      <w:r>
        <w:rPr>
          <w:sz w:val="24"/>
          <w:szCs w:val="24"/>
        </w:rPr>
        <w:t xml:space="preserve"> </w:t>
      </w:r>
      <w:r w:rsidRPr="003233BB">
        <w:rPr>
          <w:sz w:val="24"/>
          <w:szCs w:val="24"/>
        </w:rPr>
        <w:t>милион</w:t>
      </w:r>
      <w:r>
        <w:rPr>
          <w:sz w:val="24"/>
          <w:szCs w:val="24"/>
        </w:rPr>
        <w:t>и</w:t>
      </w:r>
      <w:r w:rsidRPr="003233BB">
        <w:rPr>
          <w:sz w:val="24"/>
          <w:szCs w:val="24"/>
        </w:rPr>
        <w:t xml:space="preserve"> поштенски пратки, при што може да се забележи намалување од </w:t>
      </w:r>
      <w:r>
        <w:rPr>
          <w:sz w:val="24"/>
          <w:szCs w:val="24"/>
        </w:rPr>
        <w:t>3,5%</w:t>
      </w:r>
      <w:r w:rsidRPr="003233BB">
        <w:rPr>
          <w:sz w:val="24"/>
          <w:szCs w:val="24"/>
        </w:rPr>
        <w:t xml:space="preserve"> во однос </w:t>
      </w:r>
      <w:r>
        <w:rPr>
          <w:sz w:val="24"/>
          <w:szCs w:val="24"/>
        </w:rPr>
        <w:t>на 2013</w:t>
      </w:r>
      <w:r w:rsidRPr="003233BB">
        <w:rPr>
          <w:sz w:val="24"/>
          <w:szCs w:val="24"/>
        </w:rPr>
        <w:t xml:space="preserve"> година. </w:t>
      </w:r>
    </w:p>
    <w:p w:rsidR="003233BB" w:rsidRDefault="003233BB"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Default="004A33C5" w:rsidP="003233BB">
      <w:pPr>
        <w:ind w:right="237"/>
        <w:contextualSpacing/>
        <w:rPr>
          <w:b/>
          <w:i/>
          <w:sz w:val="32"/>
          <w:szCs w:val="32"/>
          <w:u w:val="single"/>
        </w:rPr>
      </w:pPr>
    </w:p>
    <w:p w:rsidR="004A33C5" w:rsidRPr="003233BB" w:rsidRDefault="004A33C5" w:rsidP="003233BB">
      <w:pPr>
        <w:ind w:right="237"/>
        <w:contextualSpacing/>
        <w:rPr>
          <w:b/>
          <w:i/>
          <w:sz w:val="32"/>
          <w:szCs w:val="32"/>
          <w:u w:val="single"/>
        </w:rPr>
      </w:pPr>
    </w:p>
    <w:p w:rsidR="00170EF8" w:rsidRDefault="00170EF8" w:rsidP="004A33C5">
      <w:pPr>
        <w:ind w:right="237"/>
        <w:jc w:val="center"/>
        <w:rPr>
          <w:rFonts w:ascii="Calibri" w:eastAsia="Times New Roman" w:hAnsi="Calibri"/>
          <w:bCs/>
          <w:i/>
          <w:iCs/>
        </w:rPr>
      </w:pPr>
      <w:r w:rsidRPr="00170EF8">
        <w:rPr>
          <w:rFonts w:ascii="Calibri" w:eastAsia="Times New Roman" w:hAnsi="Calibri" w:cs="Times New Roman"/>
          <w:i/>
          <w:sz w:val="24"/>
          <w:szCs w:val="24"/>
          <w:lang w:eastAsia="mk-MK"/>
        </w:rPr>
        <w:lastRenderedPageBreak/>
        <w:t xml:space="preserve">Слика 6: </w:t>
      </w:r>
      <w:r w:rsidRPr="00170EF8">
        <w:rPr>
          <w:rFonts w:ascii="Calibri" w:eastAsia="Times New Roman" w:hAnsi="Calibri"/>
          <w:bCs/>
          <w:i/>
          <w:iCs/>
        </w:rPr>
        <w:t>Вкупен о</w:t>
      </w:r>
      <w:r>
        <w:rPr>
          <w:rFonts w:ascii="Calibri" w:eastAsia="Times New Roman" w:hAnsi="Calibri"/>
          <w:bCs/>
          <w:i/>
          <w:iCs/>
        </w:rPr>
        <w:t>бем -Македонска пошта (2008/2014</w:t>
      </w:r>
      <w:r w:rsidRPr="00170EF8">
        <w:rPr>
          <w:rFonts w:ascii="Calibri" w:eastAsia="Times New Roman" w:hAnsi="Calibri"/>
          <w:bCs/>
          <w:i/>
          <w:iCs/>
        </w:rPr>
        <w:t xml:space="preserve"> година)</w:t>
      </w:r>
    </w:p>
    <w:p w:rsidR="00170EF8" w:rsidRPr="00170EF8" w:rsidRDefault="00170EF8" w:rsidP="00170EF8">
      <w:pPr>
        <w:ind w:right="237"/>
        <w:jc w:val="both"/>
        <w:rPr>
          <w:rFonts w:ascii="Calibri" w:eastAsia="Times New Roman" w:hAnsi="Calibri"/>
          <w:i/>
        </w:rPr>
      </w:pPr>
      <w:r>
        <w:rPr>
          <w:noProof/>
          <w:sz w:val="24"/>
          <w:szCs w:val="24"/>
          <w:lang w:eastAsia="mk-MK"/>
        </w:rPr>
        <w:drawing>
          <wp:inline distT="0" distB="0" distL="0" distR="0" wp14:anchorId="16D4CD01" wp14:editId="7CC96D36">
            <wp:extent cx="5886450" cy="3429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7486" w:rsidRPr="00B97486" w:rsidRDefault="00B97486" w:rsidP="00B97486">
      <w:pPr>
        <w:rPr>
          <w:sz w:val="32"/>
          <w:szCs w:val="32"/>
        </w:rPr>
      </w:pPr>
    </w:p>
    <w:p w:rsidR="00C347AA" w:rsidRPr="004C1D55" w:rsidRDefault="004C1D55" w:rsidP="00C347AA">
      <w:pPr>
        <w:ind w:right="237"/>
        <w:contextualSpacing/>
        <w:rPr>
          <w:b/>
          <w:i/>
          <w:sz w:val="24"/>
          <w:szCs w:val="24"/>
          <w:u w:val="single"/>
        </w:rPr>
      </w:pPr>
      <w:r>
        <w:rPr>
          <w:b/>
          <w:i/>
          <w:sz w:val="24"/>
          <w:szCs w:val="24"/>
          <w:u w:val="single"/>
        </w:rPr>
        <w:t xml:space="preserve">5.1.1 </w:t>
      </w:r>
      <w:r w:rsidR="00C347AA" w:rsidRPr="004C1D55">
        <w:rPr>
          <w:b/>
          <w:i/>
          <w:sz w:val="24"/>
          <w:szCs w:val="24"/>
          <w:u w:val="single"/>
        </w:rPr>
        <w:t>Анализа на поштенскиот сообраќај кај Македонска пошта</w:t>
      </w:r>
    </w:p>
    <w:p w:rsidR="00C347AA" w:rsidRDefault="00C347AA" w:rsidP="00C347AA">
      <w:pPr>
        <w:ind w:right="237"/>
        <w:contextualSpacing/>
        <w:rPr>
          <w:b/>
          <w:i/>
          <w:sz w:val="32"/>
          <w:szCs w:val="32"/>
          <w:u w:val="single"/>
        </w:rPr>
      </w:pPr>
    </w:p>
    <w:p w:rsidR="00C347AA" w:rsidRDefault="00C347AA" w:rsidP="004C1D55">
      <w:pPr>
        <w:ind w:right="237" w:firstLine="851"/>
        <w:contextualSpacing/>
        <w:jc w:val="both"/>
        <w:rPr>
          <w:sz w:val="24"/>
          <w:szCs w:val="24"/>
        </w:rPr>
      </w:pPr>
      <w:r w:rsidRPr="00C347AA">
        <w:rPr>
          <w:sz w:val="24"/>
          <w:szCs w:val="24"/>
        </w:rPr>
        <w:t>Доколку се анализираат поединечно видовите на услугите кои ги обезбедува Македонска п</w:t>
      </w:r>
      <w:r w:rsidR="00676021">
        <w:rPr>
          <w:sz w:val="24"/>
          <w:szCs w:val="24"/>
        </w:rPr>
        <w:t>ошта се воочува намален обем на</w:t>
      </w:r>
      <w:r w:rsidRPr="00C347AA">
        <w:rPr>
          <w:sz w:val="24"/>
          <w:szCs w:val="24"/>
        </w:rPr>
        <w:t xml:space="preserve"> сите видови поштенски услуги </w:t>
      </w:r>
      <w:r>
        <w:rPr>
          <w:sz w:val="24"/>
          <w:szCs w:val="24"/>
        </w:rPr>
        <w:t>поединечно споредбено со 2013</w:t>
      </w:r>
      <w:r w:rsidRPr="00C347AA">
        <w:rPr>
          <w:sz w:val="24"/>
          <w:szCs w:val="24"/>
        </w:rPr>
        <w:t xml:space="preserve"> година.</w:t>
      </w:r>
    </w:p>
    <w:p w:rsidR="00C347AA" w:rsidRDefault="00C347AA" w:rsidP="00C347AA">
      <w:pPr>
        <w:ind w:right="237"/>
        <w:contextualSpacing/>
        <w:jc w:val="both"/>
        <w:rPr>
          <w:sz w:val="24"/>
          <w:szCs w:val="24"/>
        </w:rPr>
      </w:pPr>
    </w:p>
    <w:p w:rsidR="00C347AA" w:rsidRPr="00C347AA" w:rsidRDefault="00C347AA" w:rsidP="004C1D55">
      <w:pPr>
        <w:spacing w:after="0"/>
        <w:ind w:right="237"/>
        <w:jc w:val="center"/>
      </w:pPr>
      <w:r w:rsidRPr="00C347AA">
        <w:rPr>
          <w:rFonts w:ascii="Calibri" w:eastAsia="Times New Roman" w:hAnsi="Calibri" w:cs="Times New Roman"/>
          <w:i/>
          <w:lang w:eastAsia="mk-MK"/>
        </w:rPr>
        <w:t>Слика 7:</w:t>
      </w:r>
      <w:r w:rsidRPr="00C347AA">
        <w:rPr>
          <w:rFonts w:ascii="Calibri" w:eastAsia="Times New Roman" w:hAnsi="Calibri" w:cs="Times New Roman"/>
          <w:color w:val="FFFFFF"/>
          <w:lang w:eastAsia="mk-MK"/>
        </w:rPr>
        <w:t xml:space="preserve"> </w:t>
      </w:r>
      <w:r w:rsidRPr="00C347AA">
        <w:rPr>
          <w:rFonts w:ascii="Calibri" w:eastAsia="Times New Roman" w:hAnsi="Calibri" w:cs="Times New Roman"/>
          <w:i/>
          <w:lang w:eastAsia="mk-MK"/>
        </w:rPr>
        <w:t>Вкупен поштенски сообраќај кај Македонска пошта</w:t>
      </w:r>
    </w:p>
    <w:p w:rsidR="00C347AA" w:rsidRDefault="00C347AA" w:rsidP="00C347AA">
      <w:pPr>
        <w:ind w:right="237"/>
        <w:contextualSpacing/>
        <w:jc w:val="both"/>
        <w:rPr>
          <w:sz w:val="24"/>
          <w:szCs w:val="24"/>
        </w:rPr>
      </w:pPr>
    </w:p>
    <w:tbl>
      <w:tblPr>
        <w:tblpPr w:leftFromText="180" w:rightFromText="180" w:vertAnchor="text" w:horzAnchor="margin" w:tblpXSpec="center" w:tblpY="196"/>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551"/>
        <w:gridCol w:w="2478"/>
      </w:tblGrid>
      <w:tr w:rsidR="00C347AA" w:rsidRPr="00C347AA" w:rsidTr="00C347AA">
        <w:trPr>
          <w:trHeight w:val="580"/>
        </w:trPr>
        <w:tc>
          <w:tcPr>
            <w:tcW w:w="3794" w:type="dxa"/>
            <w:shd w:val="clear" w:color="auto" w:fill="DA105D"/>
          </w:tcPr>
          <w:p w:rsidR="00C347AA" w:rsidRPr="00161F87" w:rsidRDefault="00C347AA" w:rsidP="00C347AA">
            <w:pPr>
              <w:ind w:right="237"/>
              <w:contextualSpacing/>
              <w:jc w:val="both"/>
              <w:rPr>
                <w:b/>
                <w:color w:val="FFFFFF" w:themeColor="background1"/>
                <w:sz w:val="24"/>
                <w:szCs w:val="24"/>
              </w:rPr>
            </w:pPr>
          </w:p>
          <w:p w:rsidR="00C347AA" w:rsidRPr="00161F87" w:rsidRDefault="00C347AA" w:rsidP="00C347AA">
            <w:pPr>
              <w:ind w:right="237"/>
              <w:contextualSpacing/>
              <w:jc w:val="both"/>
              <w:rPr>
                <w:b/>
                <w:color w:val="FFFFFF" w:themeColor="background1"/>
                <w:sz w:val="24"/>
                <w:szCs w:val="24"/>
              </w:rPr>
            </w:pPr>
          </w:p>
        </w:tc>
        <w:tc>
          <w:tcPr>
            <w:tcW w:w="2551" w:type="dxa"/>
            <w:shd w:val="clear" w:color="auto" w:fill="DA105D"/>
            <w:vAlign w:val="center"/>
          </w:tcPr>
          <w:p w:rsidR="00C347AA" w:rsidRPr="00161F87" w:rsidRDefault="00C347AA" w:rsidP="00C347AA">
            <w:pPr>
              <w:ind w:right="237"/>
              <w:contextualSpacing/>
              <w:jc w:val="center"/>
              <w:rPr>
                <w:b/>
                <w:color w:val="FFFFFF" w:themeColor="background1"/>
                <w:sz w:val="28"/>
                <w:szCs w:val="28"/>
              </w:rPr>
            </w:pPr>
          </w:p>
          <w:p w:rsidR="00C347AA" w:rsidRPr="00161F87" w:rsidRDefault="00C347AA" w:rsidP="00C347AA">
            <w:pPr>
              <w:ind w:right="237"/>
              <w:contextualSpacing/>
              <w:jc w:val="center"/>
              <w:rPr>
                <w:b/>
                <w:color w:val="FFFFFF" w:themeColor="background1"/>
                <w:sz w:val="28"/>
                <w:szCs w:val="28"/>
              </w:rPr>
            </w:pPr>
            <w:r w:rsidRPr="00161F87">
              <w:rPr>
                <w:b/>
                <w:color w:val="FFFFFF" w:themeColor="background1"/>
                <w:sz w:val="28"/>
                <w:szCs w:val="28"/>
              </w:rPr>
              <w:t>2013 година</w:t>
            </w:r>
          </w:p>
        </w:tc>
        <w:tc>
          <w:tcPr>
            <w:tcW w:w="2478" w:type="dxa"/>
            <w:shd w:val="clear" w:color="auto" w:fill="DA105D"/>
            <w:vAlign w:val="center"/>
          </w:tcPr>
          <w:p w:rsidR="00C347AA" w:rsidRPr="00161F87" w:rsidRDefault="00C347AA" w:rsidP="00C347AA">
            <w:pPr>
              <w:ind w:right="237"/>
              <w:contextualSpacing/>
              <w:jc w:val="center"/>
              <w:rPr>
                <w:b/>
                <w:color w:val="FFFFFF" w:themeColor="background1"/>
                <w:sz w:val="28"/>
                <w:szCs w:val="28"/>
              </w:rPr>
            </w:pPr>
          </w:p>
          <w:p w:rsidR="00C347AA" w:rsidRPr="00161F87" w:rsidRDefault="00C347AA" w:rsidP="00C347AA">
            <w:pPr>
              <w:ind w:right="237"/>
              <w:contextualSpacing/>
              <w:jc w:val="center"/>
              <w:rPr>
                <w:b/>
                <w:color w:val="FFFFFF" w:themeColor="background1"/>
                <w:sz w:val="28"/>
                <w:szCs w:val="28"/>
              </w:rPr>
            </w:pPr>
            <w:r w:rsidRPr="00161F87">
              <w:rPr>
                <w:b/>
                <w:color w:val="FFFFFF" w:themeColor="background1"/>
                <w:sz w:val="28"/>
                <w:szCs w:val="28"/>
              </w:rPr>
              <w:t>2014 година</w:t>
            </w:r>
          </w:p>
        </w:tc>
      </w:tr>
      <w:tr w:rsidR="00C347AA" w:rsidRPr="00C347AA" w:rsidTr="00C347AA">
        <w:trPr>
          <w:trHeight w:val="607"/>
        </w:trPr>
        <w:tc>
          <w:tcPr>
            <w:tcW w:w="3794" w:type="dxa"/>
            <w:shd w:val="clear" w:color="auto" w:fill="auto"/>
            <w:vAlign w:val="bottom"/>
          </w:tcPr>
          <w:p w:rsidR="00C347AA" w:rsidRPr="00C347AA" w:rsidRDefault="00C347AA" w:rsidP="00C347AA">
            <w:pPr>
              <w:ind w:right="237"/>
              <w:contextualSpacing/>
              <w:jc w:val="both"/>
              <w:rPr>
                <w:i/>
                <w:sz w:val="24"/>
                <w:szCs w:val="24"/>
              </w:rPr>
            </w:pPr>
            <w:r w:rsidRPr="00C347AA">
              <w:rPr>
                <w:i/>
                <w:sz w:val="24"/>
                <w:szCs w:val="24"/>
              </w:rPr>
              <w:t>ВИДОВИ ПОШТЕНСКИ ПРАТКИ</w:t>
            </w:r>
          </w:p>
        </w:tc>
        <w:tc>
          <w:tcPr>
            <w:tcW w:w="2551" w:type="dxa"/>
            <w:shd w:val="clear" w:color="auto" w:fill="auto"/>
            <w:vAlign w:val="center"/>
          </w:tcPr>
          <w:p w:rsidR="00C347AA" w:rsidRPr="00C347AA" w:rsidRDefault="00C347AA" w:rsidP="00C347AA">
            <w:pPr>
              <w:ind w:right="237"/>
              <w:contextualSpacing/>
              <w:jc w:val="center"/>
              <w:rPr>
                <w:sz w:val="28"/>
                <w:szCs w:val="28"/>
                <w:lang w:val="en-US"/>
              </w:rPr>
            </w:pPr>
            <w:r w:rsidRPr="00C347AA">
              <w:rPr>
                <w:sz w:val="28"/>
                <w:szCs w:val="28"/>
              </w:rPr>
              <w:t>48,523,988</w:t>
            </w:r>
          </w:p>
        </w:tc>
        <w:tc>
          <w:tcPr>
            <w:tcW w:w="2478"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46,843,550</w:t>
            </w:r>
          </w:p>
        </w:tc>
      </w:tr>
      <w:tr w:rsidR="00C347AA" w:rsidRPr="00C347AA" w:rsidTr="00C347AA">
        <w:trPr>
          <w:trHeight w:val="247"/>
        </w:trPr>
        <w:tc>
          <w:tcPr>
            <w:tcW w:w="3794" w:type="dxa"/>
            <w:shd w:val="clear" w:color="auto" w:fill="auto"/>
          </w:tcPr>
          <w:p w:rsidR="00C347AA" w:rsidRPr="00C347AA" w:rsidRDefault="00C347AA" w:rsidP="00C347AA">
            <w:pPr>
              <w:ind w:right="237"/>
              <w:contextualSpacing/>
              <w:jc w:val="both"/>
              <w:rPr>
                <w:sz w:val="24"/>
                <w:szCs w:val="24"/>
              </w:rPr>
            </w:pPr>
            <w:r w:rsidRPr="00C347AA">
              <w:rPr>
                <w:sz w:val="24"/>
                <w:szCs w:val="24"/>
                <w:lang w:val="ru-RU"/>
              </w:rPr>
              <w:t>а) Пратки за коресподенција</w:t>
            </w:r>
          </w:p>
        </w:tc>
        <w:tc>
          <w:tcPr>
            <w:tcW w:w="2551" w:type="dxa"/>
            <w:shd w:val="clear" w:color="auto" w:fill="auto"/>
            <w:vAlign w:val="center"/>
          </w:tcPr>
          <w:p w:rsidR="00BC1BCF" w:rsidRDefault="00BC1BCF" w:rsidP="00BC1BCF">
            <w:pPr>
              <w:ind w:right="237"/>
              <w:contextualSpacing/>
              <w:rPr>
                <w:sz w:val="28"/>
                <w:szCs w:val="28"/>
              </w:rPr>
            </w:pPr>
          </w:p>
          <w:p w:rsidR="00C347AA" w:rsidRPr="00C347AA" w:rsidRDefault="00BC1BCF" w:rsidP="00BC1BCF">
            <w:pPr>
              <w:ind w:right="237"/>
              <w:contextualSpacing/>
              <w:rPr>
                <w:sz w:val="28"/>
                <w:szCs w:val="28"/>
              </w:rPr>
            </w:pPr>
            <w:r>
              <w:rPr>
                <w:sz w:val="28"/>
                <w:szCs w:val="28"/>
              </w:rPr>
              <w:t xml:space="preserve">      </w:t>
            </w:r>
            <w:r w:rsidR="00C347AA" w:rsidRPr="00C347AA">
              <w:rPr>
                <w:sz w:val="28"/>
                <w:szCs w:val="28"/>
              </w:rPr>
              <w:t>45,010,631</w:t>
            </w:r>
          </w:p>
          <w:p w:rsidR="00C347AA" w:rsidRPr="00C347AA" w:rsidRDefault="00C347AA" w:rsidP="00C347AA">
            <w:pPr>
              <w:ind w:right="237"/>
              <w:contextualSpacing/>
              <w:jc w:val="center"/>
              <w:rPr>
                <w:sz w:val="28"/>
                <w:szCs w:val="28"/>
              </w:rPr>
            </w:pP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44,373,114</w:t>
            </w:r>
          </w:p>
        </w:tc>
      </w:tr>
      <w:tr w:rsidR="00C347AA" w:rsidRPr="00C347AA" w:rsidTr="00C347AA">
        <w:trPr>
          <w:trHeight w:val="616"/>
        </w:trPr>
        <w:tc>
          <w:tcPr>
            <w:tcW w:w="3794" w:type="dxa"/>
            <w:shd w:val="clear" w:color="auto" w:fill="auto"/>
          </w:tcPr>
          <w:p w:rsidR="00C347AA" w:rsidRPr="00C347AA" w:rsidRDefault="00C347AA" w:rsidP="00C347AA">
            <w:pPr>
              <w:pStyle w:val="ListParagraph"/>
              <w:numPr>
                <w:ilvl w:val="0"/>
                <w:numId w:val="2"/>
              </w:numPr>
              <w:ind w:right="237"/>
              <w:jc w:val="both"/>
              <w:rPr>
                <w:sz w:val="24"/>
                <w:szCs w:val="24"/>
              </w:rPr>
            </w:pPr>
            <w:r w:rsidRPr="00C347AA">
              <w:rPr>
                <w:sz w:val="24"/>
                <w:szCs w:val="24"/>
              </w:rPr>
              <w:t>обични писма</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39,024,506</w:t>
            </w:r>
          </w:p>
        </w:tc>
        <w:tc>
          <w:tcPr>
            <w:tcW w:w="2478" w:type="dxa"/>
            <w:shd w:val="clear" w:color="auto" w:fill="auto"/>
            <w:vAlign w:val="center"/>
          </w:tcPr>
          <w:p w:rsidR="00C347AA" w:rsidRPr="00C347AA" w:rsidRDefault="00C347AA" w:rsidP="00C347AA">
            <w:pPr>
              <w:ind w:right="237"/>
              <w:contextualSpacing/>
              <w:jc w:val="center"/>
              <w:rPr>
                <w:sz w:val="28"/>
                <w:szCs w:val="28"/>
              </w:rPr>
            </w:pPr>
            <w:r>
              <w:rPr>
                <w:sz w:val="28"/>
                <w:szCs w:val="28"/>
              </w:rPr>
              <w:t>38,764,822</w:t>
            </w:r>
          </w:p>
        </w:tc>
      </w:tr>
      <w:tr w:rsidR="00C347AA" w:rsidRPr="00C347AA" w:rsidTr="00C347AA">
        <w:trPr>
          <w:trHeight w:val="421"/>
        </w:trPr>
        <w:tc>
          <w:tcPr>
            <w:tcW w:w="3794" w:type="dxa"/>
            <w:shd w:val="clear" w:color="auto" w:fill="auto"/>
          </w:tcPr>
          <w:p w:rsidR="00C347AA" w:rsidRPr="00C347AA" w:rsidRDefault="00C347AA" w:rsidP="00C347AA">
            <w:pPr>
              <w:pStyle w:val="ListParagraph"/>
              <w:numPr>
                <w:ilvl w:val="0"/>
                <w:numId w:val="2"/>
              </w:numPr>
              <w:ind w:right="237"/>
              <w:jc w:val="both"/>
              <w:rPr>
                <w:sz w:val="24"/>
                <w:szCs w:val="24"/>
              </w:rPr>
            </w:pPr>
            <w:r w:rsidRPr="00C347AA">
              <w:rPr>
                <w:sz w:val="24"/>
                <w:szCs w:val="24"/>
              </w:rPr>
              <w:t>препорачани писма</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5,679,682</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5,319,638</w:t>
            </w:r>
          </w:p>
        </w:tc>
      </w:tr>
      <w:tr w:rsidR="00C347AA" w:rsidRPr="00C347AA" w:rsidTr="00C347AA">
        <w:trPr>
          <w:trHeight w:val="421"/>
        </w:trPr>
        <w:tc>
          <w:tcPr>
            <w:tcW w:w="3794" w:type="dxa"/>
            <w:shd w:val="clear" w:color="auto" w:fill="auto"/>
          </w:tcPr>
          <w:p w:rsidR="00C347AA" w:rsidRPr="00C347AA" w:rsidRDefault="00C347AA" w:rsidP="00C347AA">
            <w:pPr>
              <w:pStyle w:val="ListParagraph"/>
              <w:numPr>
                <w:ilvl w:val="0"/>
                <w:numId w:val="2"/>
              </w:numPr>
              <w:ind w:right="237"/>
              <w:jc w:val="both"/>
              <w:rPr>
                <w:sz w:val="24"/>
                <w:szCs w:val="24"/>
              </w:rPr>
            </w:pPr>
            <w:r w:rsidRPr="00C347AA">
              <w:rPr>
                <w:sz w:val="24"/>
                <w:szCs w:val="24"/>
              </w:rPr>
              <w:lastRenderedPageBreak/>
              <w:t>вредносни писма</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306,443</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288,654</w:t>
            </w:r>
          </w:p>
        </w:tc>
      </w:tr>
      <w:tr w:rsidR="00C347AA" w:rsidRPr="00C347AA" w:rsidTr="00C347AA">
        <w:trPr>
          <w:trHeight w:val="421"/>
        </w:trPr>
        <w:tc>
          <w:tcPr>
            <w:tcW w:w="3794" w:type="dxa"/>
            <w:shd w:val="clear" w:color="auto" w:fill="auto"/>
          </w:tcPr>
          <w:p w:rsidR="00C347AA" w:rsidRPr="00C347AA" w:rsidRDefault="00C347AA" w:rsidP="00C347AA">
            <w:pPr>
              <w:ind w:right="237"/>
              <w:contextualSpacing/>
              <w:jc w:val="both"/>
              <w:rPr>
                <w:sz w:val="24"/>
                <w:szCs w:val="24"/>
              </w:rPr>
            </w:pPr>
            <w:r w:rsidRPr="00C347AA">
              <w:rPr>
                <w:sz w:val="24"/>
                <w:szCs w:val="24"/>
              </w:rPr>
              <w:t>б) директна пошта</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476,270</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341,666</w:t>
            </w:r>
          </w:p>
        </w:tc>
      </w:tr>
      <w:tr w:rsidR="00C347AA" w:rsidRPr="00C347AA" w:rsidTr="00C347AA">
        <w:trPr>
          <w:trHeight w:val="421"/>
        </w:trPr>
        <w:tc>
          <w:tcPr>
            <w:tcW w:w="3794" w:type="dxa"/>
            <w:shd w:val="clear" w:color="auto" w:fill="auto"/>
          </w:tcPr>
          <w:p w:rsidR="00C347AA" w:rsidRPr="00C347AA" w:rsidRDefault="00C347AA" w:rsidP="00C347AA">
            <w:pPr>
              <w:ind w:right="237"/>
              <w:contextualSpacing/>
              <w:jc w:val="both"/>
              <w:rPr>
                <w:sz w:val="24"/>
                <w:szCs w:val="24"/>
              </w:rPr>
            </w:pPr>
            <w:r w:rsidRPr="00C347AA">
              <w:rPr>
                <w:sz w:val="24"/>
                <w:szCs w:val="24"/>
              </w:rPr>
              <w:t>г) мали пакети</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0</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0</w:t>
            </w:r>
          </w:p>
        </w:tc>
      </w:tr>
      <w:tr w:rsidR="00C347AA" w:rsidRPr="00C347AA" w:rsidTr="00C347AA">
        <w:trPr>
          <w:trHeight w:val="326"/>
        </w:trPr>
        <w:tc>
          <w:tcPr>
            <w:tcW w:w="3794" w:type="dxa"/>
            <w:shd w:val="clear" w:color="auto" w:fill="auto"/>
          </w:tcPr>
          <w:p w:rsidR="00C347AA" w:rsidRPr="00C347AA" w:rsidRDefault="00C347AA" w:rsidP="00C347AA">
            <w:pPr>
              <w:ind w:right="237"/>
              <w:contextualSpacing/>
              <w:jc w:val="both"/>
              <w:rPr>
                <w:sz w:val="24"/>
                <w:szCs w:val="24"/>
              </w:rPr>
            </w:pPr>
            <w:r w:rsidRPr="00C347AA">
              <w:rPr>
                <w:sz w:val="24"/>
                <w:szCs w:val="24"/>
                <w:lang w:val="ru-RU"/>
              </w:rPr>
              <w:t>д) пакети</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134,234</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116,012</w:t>
            </w:r>
          </w:p>
        </w:tc>
      </w:tr>
      <w:tr w:rsidR="00C347AA" w:rsidRPr="00C347AA" w:rsidTr="00C347AA">
        <w:trPr>
          <w:trHeight w:val="418"/>
        </w:trPr>
        <w:tc>
          <w:tcPr>
            <w:tcW w:w="3794" w:type="dxa"/>
            <w:shd w:val="clear" w:color="auto" w:fill="auto"/>
          </w:tcPr>
          <w:p w:rsidR="00C347AA" w:rsidRPr="00C347AA" w:rsidRDefault="00C347AA" w:rsidP="00C347AA">
            <w:pPr>
              <w:ind w:right="237"/>
              <w:contextualSpacing/>
              <w:jc w:val="both"/>
              <w:rPr>
                <w:sz w:val="24"/>
                <w:szCs w:val="24"/>
              </w:rPr>
            </w:pPr>
            <w:r w:rsidRPr="00C347AA">
              <w:rPr>
                <w:sz w:val="24"/>
                <w:szCs w:val="24"/>
                <w:lang w:val="ru-RU"/>
              </w:rPr>
              <w:t>ѓ) печатени работи</w:t>
            </w:r>
          </w:p>
        </w:tc>
        <w:tc>
          <w:tcPr>
            <w:tcW w:w="2551" w:type="dxa"/>
            <w:shd w:val="clear" w:color="auto" w:fill="auto"/>
            <w:vAlign w:val="center"/>
          </w:tcPr>
          <w:p w:rsidR="00C347AA" w:rsidRPr="00C347AA" w:rsidRDefault="00C347AA" w:rsidP="00C347AA">
            <w:pPr>
              <w:ind w:right="237"/>
              <w:contextualSpacing/>
              <w:jc w:val="center"/>
              <w:rPr>
                <w:sz w:val="28"/>
                <w:szCs w:val="28"/>
              </w:rPr>
            </w:pPr>
            <w:r w:rsidRPr="00C347AA">
              <w:rPr>
                <w:sz w:val="28"/>
                <w:szCs w:val="28"/>
              </w:rPr>
              <w:t>2</w:t>
            </w:r>
            <w:r w:rsidRPr="00C347AA">
              <w:rPr>
                <w:sz w:val="28"/>
                <w:szCs w:val="28"/>
                <w:lang w:val="en-US"/>
              </w:rPr>
              <w:t>,</w:t>
            </w:r>
            <w:r w:rsidRPr="00C347AA">
              <w:rPr>
                <w:sz w:val="28"/>
                <w:szCs w:val="28"/>
              </w:rPr>
              <w:t>902</w:t>
            </w:r>
            <w:r w:rsidRPr="00C347AA">
              <w:rPr>
                <w:sz w:val="28"/>
                <w:szCs w:val="28"/>
                <w:lang w:val="en-US"/>
              </w:rPr>
              <w:t>,</w:t>
            </w:r>
            <w:r w:rsidRPr="00C347AA">
              <w:rPr>
                <w:sz w:val="28"/>
                <w:szCs w:val="28"/>
              </w:rPr>
              <w:t>853</w:t>
            </w:r>
          </w:p>
        </w:tc>
        <w:tc>
          <w:tcPr>
            <w:tcW w:w="2478" w:type="dxa"/>
            <w:shd w:val="clear" w:color="auto" w:fill="auto"/>
            <w:vAlign w:val="center"/>
          </w:tcPr>
          <w:p w:rsidR="00C347AA" w:rsidRPr="00C347AA" w:rsidRDefault="00BC1BCF" w:rsidP="00C347AA">
            <w:pPr>
              <w:ind w:right="237"/>
              <w:contextualSpacing/>
              <w:jc w:val="center"/>
              <w:rPr>
                <w:sz w:val="28"/>
                <w:szCs w:val="28"/>
              </w:rPr>
            </w:pPr>
            <w:r>
              <w:rPr>
                <w:sz w:val="28"/>
                <w:szCs w:val="28"/>
              </w:rPr>
              <w:t>2,032,758</w:t>
            </w:r>
          </w:p>
        </w:tc>
      </w:tr>
    </w:tbl>
    <w:p w:rsidR="00C347AA" w:rsidRPr="00C347AA" w:rsidRDefault="00C347AA" w:rsidP="00C347AA">
      <w:pPr>
        <w:ind w:right="237"/>
        <w:contextualSpacing/>
        <w:jc w:val="both"/>
        <w:rPr>
          <w:sz w:val="24"/>
          <w:szCs w:val="24"/>
        </w:rPr>
      </w:pPr>
    </w:p>
    <w:p w:rsidR="00C347AA" w:rsidRPr="00C347AA" w:rsidRDefault="00C347AA" w:rsidP="00C347AA">
      <w:pPr>
        <w:ind w:right="237"/>
        <w:contextualSpacing/>
        <w:rPr>
          <w:b/>
          <w:i/>
          <w:sz w:val="32"/>
          <w:szCs w:val="32"/>
          <w:u w:val="single"/>
        </w:rPr>
      </w:pPr>
    </w:p>
    <w:p w:rsidR="00676021" w:rsidRPr="004C1D55" w:rsidRDefault="004C1D55" w:rsidP="00676021">
      <w:pPr>
        <w:tabs>
          <w:tab w:val="left" w:pos="1134"/>
        </w:tabs>
        <w:ind w:right="237"/>
        <w:contextualSpacing/>
        <w:rPr>
          <w:b/>
          <w:i/>
          <w:sz w:val="24"/>
          <w:szCs w:val="24"/>
          <w:u w:val="single"/>
        </w:rPr>
      </w:pPr>
      <w:r>
        <w:rPr>
          <w:b/>
          <w:i/>
          <w:sz w:val="24"/>
          <w:szCs w:val="24"/>
          <w:u w:val="single"/>
        </w:rPr>
        <w:t xml:space="preserve">5.1.2 </w:t>
      </w:r>
      <w:r w:rsidR="00676021" w:rsidRPr="004C1D55">
        <w:rPr>
          <w:b/>
          <w:i/>
          <w:sz w:val="24"/>
          <w:szCs w:val="24"/>
          <w:u w:val="single"/>
        </w:rPr>
        <w:t>Анализа на пратки за коресподенција кај Македонска пошта</w:t>
      </w:r>
    </w:p>
    <w:p w:rsidR="00B97486" w:rsidRDefault="00B97486" w:rsidP="00B97486">
      <w:pPr>
        <w:rPr>
          <w:sz w:val="32"/>
          <w:szCs w:val="32"/>
        </w:rPr>
      </w:pPr>
    </w:p>
    <w:p w:rsidR="00B97486" w:rsidRDefault="00676021" w:rsidP="004C1D55">
      <w:pPr>
        <w:ind w:right="237" w:firstLine="851"/>
        <w:jc w:val="both"/>
        <w:rPr>
          <w:sz w:val="24"/>
          <w:szCs w:val="24"/>
        </w:rPr>
      </w:pPr>
      <w:r w:rsidRPr="00676021">
        <w:rPr>
          <w:sz w:val="24"/>
          <w:szCs w:val="24"/>
        </w:rPr>
        <w:t>Од вкупно остварениот поштенски сообраќај во Македонска пошта</w:t>
      </w:r>
      <w:r w:rsidR="00353937">
        <w:rPr>
          <w:sz w:val="24"/>
          <w:szCs w:val="24"/>
        </w:rPr>
        <w:t xml:space="preserve"> во 2014 година</w:t>
      </w:r>
      <w:r w:rsidRPr="00676021">
        <w:rPr>
          <w:sz w:val="24"/>
          <w:szCs w:val="24"/>
          <w:lang w:val="en-US"/>
        </w:rPr>
        <w:t>,</w:t>
      </w:r>
      <w:r w:rsidRPr="00676021">
        <w:rPr>
          <w:sz w:val="24"/>
          <w:szCs w:val="24"/>
        </w:rPr>
        <w:t xml:space="preserve"> н</w:t>
      </w:r>
      <w:r>
        <w:rPr>
          <w:sz w:val="24"/>
          <w:szCs w:val="24"/>
        </w:rPr>
        <w:t xml:space="preserve">ајголем процент </w:t>
      </w:r>
      <w:r w:rsidRPr="00676021">
        <w:rPr>
          <w:sz w:val="24"/>
          <w:szCs w:val="24"/>
        </w:rPr>
        <w:t>9</w:t>
      </w:r>
      <w:r>
        <w:rPr>
          <w:sz w:val="24"/>
          <w:szCs w:val="24"/>
        </w:rPr>
        <w:t>4</w:t>
      </w:r>
      <w:r w:rsidRPr="00676021">
        <w:rPr>
          <w:sz w:val="24"/>
          <w:szCs w:val="24"/>
          <w:lang w:val="en-US"/>
        </w:rPr>
        <w:t>.7</w:t>
      </w:r>
      <w:r>
        <w:rPr>
          <w:sz w:val="24"/>
          <w:szCs w:val="24"/>
        </w:rPr>
        <w:t>%</w:t>
      </w:r>
      <w:r w:rsidR="00353937">
        <w:rPr>
          <w:sz w:val="24"/>
          <w:szCs w:val="24"/>
        </w:rPr>
        <w:t xml:space="preserve"> </w:t>
      </w:r>
      <w:r w:rsidR="00FA491F">
        <w:rPr>
          <w:sz w:val="24"/>
          <w:szCs w:val="24"/>
        </w:rPr>
        <w:t xml:space="preserve">заземаат </w:t>
      </w:r>
      <w:r w:rsidR="00353937">
        <w:rPr>
          <w:sz w:val="24"/>
          <w:szCs w:val="24"/>
        </w:rPr>
        <w:t>услуги</w:t>
      </w:r>
      <w:r w:rsidRPr="00676021">
        <w:rPr>
          <w:sz w:val="24"/>
          <w:szCs w:val="24"/>
        </w:rPr>
        <w:t xml:space="preserve"> </w:t>
      </w:r>
      <w:r w:rsidR="00FA491F">
        <w:rPr>
          <w:sz w:val="24"/>
          <w:szCs w:val="24"/>
        </w:rPr>
        <w:t>остварени</w:t>
      </w:r>
      <w:r w:rsidR="00FA491F" w:rsidRPr="00676021">
        <w:rPr>
          <w:sz w:val="24"/>
          <w:szCs w:val="24"/>
        </w:rPr>
        <w:t xml:space="preserve"> </w:t>
      </w:r>
      <w:r w:rsidRPr="00676021">
        <w:rPr>
          <w:sz w:val="24"/>
          <w:szCs w:val="24"/>
        </w:rPr>
        <w:t xml:space="preserve">од обезбедување на пратките за коресподенција, </w:t>
      </w:r>
      <w:r w:rsidR="00FA491F">
        <w:rPr>
          <w:sz w:val="24"/>
          <w:szCs w:val="24"/>
        </w:rPr>
        <w:t xml:space="preserve">и тоа </w:t>
      </w:r>
      <w:r>
        <w:rPr>
          <w:sz w:val="24"/>
          <w:szCs w:val="24"/>
          <w:lang w:val="en-US"/>
        </w:rPr>
        <w:t>8</w:t>
      </w:r>
      <w:r>
        <w:rPr>
          <w:sz w:val="24"/>
          <w:szCs w:val="24"/>
        </w:rPr>
        <w:t>2</w:t>
      </w:r>
      <w:r>
        <w:rPr>
          <w:sz w:val="24"/>
          <w:szCs w:val="24"/>
          <w:lang w:val="en-US"/>
        </w:rPr>
        <w:t>.</w:t>
      </w:r>
      <w:r>
        <w:rPr>
          <w:sz w:val="24"/>
          <w:szCs w:val="24"/>
        </w:rPr>
        <w:t>7</w:t>
      </w:r>
      <w:r w:rsidRPr="00676021">
        <w:rPr>
          <w:sz w:val="24"/>
          <w:szCs w:val="24"/>
          <w:lang w:val="en-US"/>
        </w:rPr>
        <w:t xml:space="preserve"> % </w:t>
      </w:r>
      <w:r w:rsidRPr="00676021">
        <w:rPr>
          <w:sz w:val="24"/>
          <w:szCs w:val="24"/>
        </w:rPr>
        <w:t xml:space="preserve">обичните писма. </w:t>
      </w:r>
    </w:p>
    <w:p w:rsidR="004C1D55" w:rsidRPr="004C1D55" w:rsidRDefault="004C1D55" w:rsidP="004C1D55">
      <w:pPr>
        <w:ind w:right="237" w:firstLine="851"/>
        <w:jc w:val="both"/>
        <w:rPr>
          <w:sz w:val="24"/>
          <w:szCs w:val="24"/>
        </w:rPr>
      </w:pPr>
    </w:p>
    <w:p w:rsidR="00F45A5A" w:rsidRDefault="00F45A5A" w:rsidP="004C1D55">
      <w:pPr>
        <w:spacing w:after="0"/>
        <w:ind w:right="237"/>
        <w:jc w:val="center"/>
        <w:rPr>
          <w:i/>
          <w:sz w:val="24"/>
          <w:szCs w:val="24"/>
        </w:rPr>
      </w:pPr>
      <w:r w:rsidRPr="00F45A5A">
        <w:rPr>
          <w:i/>
          <w:sz w:val="24"/>
          <w:szCs w:val="24"/>
        </w:rPr>
        <w:t>Слика 8 :Обем на пратки за коресподенција – Македонска пошта 2011</w:t>
      </w:r>
      <w:r>
        <w:rPr>
          <w:i/>
          <w:sz w:val="24"/>
          <w:szCs w:val="24"/>
        </w:rPr>
        <w:t>-2014</w:t>
      </w:r>
    </w:p>
    <w:p w:rsidR="00F45A5A" w:rsidRPr="008C5D65" w:rsidRDefault="00F45A5A" w:rsidP="00F45A5A">
      <w:pPr>
        <w:spacing w:after="0"/>
        <w:ind w:right="237"/>
        <w:rPr>
          <w:b/>
          <w:i/>
          <w:sz w:val="24"/>
          <w:szCs w:val="24"/>
        </w:rPr>
      </w:pPr>
    </w:p>
    <w:tbl>
      <w:tblPr>
        <w:tblStyle w:val="TableGrid2"/>
        <w:tblpPr w:leftFromText="180" w:rightFromText="180" w:vertAnchor="text" w:horzAnchor="margin" w:tblpY="45"/>
        <w:tblW w:w="9322" w:type="dxa"/>
        <w:tblLook w:val="04A0" w:firstRow="1" w:lastRow="0" w:firstColumn="1" w:lastColumn="0" w:noHBand="0" w:noVBand="1"/>
      </w:tblPr>
      <w:tblGrid>
        <w:gridCol w:w="2431"/>
        <w:gridCol w:w="1729"/>
        <w:gridCol w:w="1729"/>
        <w:gridCol w:w="1729"/>
        <w:gridCol w:w="1729"/>
      </w:tblGrid>
      <w:tr w:rsidR="00161F87" w:rsidRPr="00F45A5A" w:rsidTr="00161F87">
        <w:tc>
          <w:tcPr>
            <w:tcW w:w="2660" w:type="dxa"/>
            <w:shd w:val="clear" w:color="auto" w:fill="DA105D"/>
            <w:vAlign w:val="center"/>
          </w:tcPr>
          <w:p w:rsidR="00161F87" w:rsidRPr="00F45A5A" w:rsidRDefault="00161F87" w:rsidP="00161F87">
            <w:pPr>
              <w:ind w:right="237"/>
              <w:jc w:val="center"/>
              <w:rPr>
                <w:rFonts w:ascii="Calibri" w:eastAsia="Calibri" w:hAnsi="Calibri" w:cs="Times New Roman"/>
                <w:b/>
                <w:color w:val="FFFFFF"/>
                <w:sz w:val="28"/>
                <w:szCs w:val="28"/>
              </w:rPr>
            </w:pPr>
          </w:p>
        </w:tc>
        <w:tc>
          <w:tcPr>
            <w:tcW w:w="1701" w:type="dxa"/>
            <w:shd w:val="clear" w:color="auto" w:fill="DA105D"/>
            <w:vAlign w:val="center"/>
          </w:tcPr>
          <w:p w:rsidR="00161F87" w:rsidRPr="00F45A5A" w:rsidRDefault="00161F87" w:rsidP="00161F87">
            <w:pPr>
              <w:ind w:right="237"/>
              <w:jc w:val="center"/>
              <w:rPr>
                <w:rFonts w:ascii="Calibri" w:eastAsia="Calibri" w:hAnsi="Calibri" w:cs="Times New Roman"/>
                <w:b/>
                <w:color w:val="FFFFFF"/>
                <w:sz w:val="28"/>
                <w:szCs w:val="28"/>
              </w:rPr>
            </w:pPr>
            <w:r w:rsidRPr="00F45A5A">
              <w:rPr>
                <w:rFonts w:ascii="Calibri" w:eastAsia="Calibri" w:hAnsi="Calibri" w:cs="Times New Roman"/>
                <w:b/>
                <w:color w:val="FFFFFF"/>
                <w:sz w:val="28"/>
                <w:szCs w:val="28"/>
              </w:rPr>
              <w:t>2011 година</w:t>
            </w:r>
          </w:p>
        </w:tc>
        <w:tc>
          <w:tcPr>
            <w:tcW w:w="1843" w:type="dxa"/>
            <w:shd w:val="clear" w:color="auto" w:fill="DA105D"/>
            <w:vAlign w:val="center"/>
          </w:tcPr>
          <w:p w:rsidR="00161F87" w:rsidRPr="00F45A5A" w:rsidRDefault="00161F87" w:rsidP="00161F87">
            <w:pPr>
              <w:ind w:right="237"/>
              <w:jc w:val="center"/>
              <w:rPr>
                <w:rFonts w:ascii="Calibri" w:eastAsia="Calibri" w:hAnsi="Calibri" w:cs="Times New Roman"/>
                <w:b/>
                <w:color w:val="FFFFFF" w:themeColor="background1"/>
                <w:sz w:val="28"/>
                <w:szCs w:val="28"/>
              </w:rPr>
            </w:pPr>
            <w:r w:rsidRPr="00F45A5A">
              <w:rPr>
                <w:rFonts w:ascii="Calibri" w:eastAsia="Calibri" w:hAnsi="Calibri" w:cs="Times New Roman"/>
                <w:b/>
                <w:color w:val="FFFFFF" w:themeColor="background1"/>
                <w:sz w:val="28"/>
                <w:szCs w:val="28"/>
              </w:rPr>
              <w:t>2012 година</w:t>
            </w:r>
          </w:p>
        </w:tc>
        <w:tc>
          <w:tcPr>
            <w:tcW w:w="1800" w:type="dxa"/>
            <w:shd w:val="clear" w:color="auto" w:fill="DA105D"/>
            <w:vAlign w:val="center"/>
          </w:tcPr>
          <w:p w:rsidR="00161F87" w:rsidRPr="00F45A5A" w:rsidRDefault="00161F87" w:rsidP="00161F87">
            <w:pPr>
              <w:ind w:right="237"/>
              <w:jc w:val="center"/>
              <w:rPr>
                <w:rFonts w:ascii="Calibri" w:eastAsia="Calibri" w:hAnsi="Calibri" w:cs="Times New Roman"/>
                <w:b/>
                <w:color w:val="FFFFFF" w:themeColor="background1"/>
                <w:sz w:val="28"/>
                <w:szCs w:val="28"/>
              </w:rPr>
            </w:pPr>
            <w:r w:rsidRPr="00F45A5A">
              <w:rPr>
                <w:rFonts w:ascii="Calibri" w:eastAsia="Calibri" w:hAnsi="Calibri" w:cs="Times New Roman"/>
                <w:b/>
                <w:color w:val="FFFFFF" w:themeColor="background1"/>
                <w:sz w:val="28"/>
                <w:szCs w:val="28"/>
              </w:rPr>
              <w:t>2013 година</w:t>
            </w:r>
          </w:p>
        </w:tc>
        <w:tc>
          <w:tcPr>
            <w:tcW w:w="1318" w:type="dxa"/>
            <w:shd w:val="clear" w:color="auto" w:fill="DA105D"/>
            <w:vAlign w:val="center"/>
          </w:tcPr>
          <w:p w:rsidR="00161F87" w:rsidRPr="00161F87" w:rsidRDefault="00161F87" w:rsidP="00161F87">
            <w:pPr>
              <w:ind w:right="237"/>
              <w:jc w:val="center"/>
              <w:rPr>
                <w:rFonts w:ascii="Calibri" w:eastAsia="Calibri" w:hAnsi="Calibri" w:cs="Times New Roman"/>
                <w:b/>
                <w:color w:val="FFFFFF" w:themeColor="background1"/>
                <w:sz w:val="28"/>
                <w:szCs w:val="28"/>
              </w:rPr>
            </w:pPr>
            <w:r w:rsidRPr="00161F87">
              <w:rPr>
                <w:rFonts w:ascii="Calibri" w:eastAsia="Calibri" w:hAnsi="Calibri" w:cs="Times New Roman"/>
                <w:b/>
                <w:color w:val="FFFFFF" w:themeColor="background1"/>
                <w:sz w:val="28"/>
                <w:szCs w:val="28"/>
              </w:rPr>
              <w:t>2014 година</w:t>
            </w:r>
          </w:p>
        </w:tc>
      </w:tr>
      <w:tr w:rsidR="00161F87" w:rsidRPr="00F45A5A" w:rsidTr="00161F87">
        <w:trPr>
          <w:trHeight w:val="449"/>
        </w:trPr>
        <w:tc>
          <w:tcPr>
            <w:tcW w:w="2660" w:type="dxa"/>
            <w:vAlign w:val="center"/>
          </w:tcPr>
          <w:p w:rsidR="00161F87" w:rsidRPr="00F45A5A" w:rsidRDefault="00161F87" w:rsidP="00161F87">
            <w:pPr>
              <w:ind w:right="237"/>
              <w:rPr>
                <w:rFonts w:ascii="Calibri" w:eastAsia="Calibri" w:hAnsi="Calibri" w:cs="Times New Roman"/>
                <w:sz w:val="28"/>
                <w:szCs w:val="28"/>
              </w:rPr>
            </w:pPr>
            <w:r w:rsidRPr="00F45A5A">
              <w:rPr>
                <w:rFonts w:ascii="Calibri" w:eastAsia="Calibri" w:hAnsi="Calibri" w:cs="Times New Roman"/>
                <w:b/>
                <w:color w:val="000000" w:themeColor="text1"/>
                <w:sz w:val="28"/>
                <w:szCs w:val="28"/>
              </w:rPr>
              <w:t xml:space="preserve">Вкупен обем на </w:t>
            </w:r>
            <w:r w:rsidRPr="00F45A5A">
              <w:rPr>
                <w:b/>
                <w:sz w:val="28"/>
                <w:szCs w:val="28"/>
              </w:rPr>
              <w:t xml:space="preserve"> пратки за коресподенција</w:t>
            </w:r>
          </w:p>
        </w:tc>
        <w:tc>
          <w:tcPr>
            <w:tcW w:w="1701" w:type="dxa"/>
            <w:vAlign w:val="center"/>
          </w:tcPr>
          <w:p w:rsidR="00161F87" w:rsidRPr="00F45A5A" w:rsidRDefault="00161F87" w:rsidP="00161F87">
            <w:pPr>
              <w:ind w:right="237"/>
              <w:jc w:val="center"/>
              <w:rPr>
                <w:rFonts w:ascii="Calibri" w:eastAsia="Calibri" w:hAnsi="Calibri" w:cs="Times New Roman"/>
                <w:color w:val="FF0000"/>
                <w:sz w:val="28"/>
                <w:szCs w:val="28"/>
              </w:rPr>
            </w:pPr>
            <w:r w:rsidRPr="00F45A5A">
              <w:rPr>
                <w:rFonts w:ascii="Calibri" w:eastAsia="Calibri" w:hAnsi="Calibri" w:cs="Times New Roman"/>
                <w:sz w:val="28"/>
                <w:szCs w:val="28"/>
              </w:rPr>
              <w:t>49,925,548</w:t>
            </w:r>
          </w:p>
        </w:tc>
        <w:tc>
          <w:tcPr>
            <w:tcW w:w="1843" w:type="dxa"/>
            <w:vAlign w:val="center"/>
          </w:tcPr>
          <w:p w:rsidR="00161F87" w:rsidRPr="00F45A5A" w:rsidRDefault="00161F87" w:rsidP="00161F87">
            <w:pPr>
              <w:ind w:right="237"/>
              <w:jc w:val="center"/>
              <w:rPr>
                <w:rFonts w:ascii="Calibri" w:eastAsia="Calibri" w:hAnsi="Calibri" w:cs="Times New Roman"/>
                <w:color w:val="FF0000"/>
                <w:sz w:val="28"/>
                <w:szCs w:val="28"/>
                <w:lang w:val="en-US"/>
              </w:rPr>
            </w:pPr>
            <w:r w:rsidRPr="00F45A5A">
              <w:rPr>
                <w:rFonts w:ascii="Calibri" w:eastAsia="Calibri" w:hAnsi="Calibri" w:cs="Times New Roman"/>
                <w:sz w:val="28"/>
                <w:szCs w:val="28"/>
                <w:lang w:val="en-US"/>
              </w:rPr>
              <w:t>48,157,020</w:t>
            </w:r>
          </w:p>
        </w:tc>
        <w:tc>
          <w:tcPr>
            <w:tcW w:w="1800" w:type="dxa"/>
            <w:vAlign w:val="center"/>
          </w:tcPr>
          <w:p w:rsidR="00161F87" w:rsidRPr="00F45A5A" w:rsidRDefault="00161F87" w:rsidP="00161F87">
            <w:pPr>
              <w:ind w:right="237"/>
              <w:jc w:val="center"/>
              <w:rPr>
                <w:rFonts w:ascii="Calibri" w:eastAsia="Calibri" w:hAnsi="Calibri" w:cs="Times New Roman"/>
                <w:sz w:val="28"/>
                <w:szCs w:val="28"/>
              </w:rPr>
            </w:pPr>
            <w:r w:rsidRPr="00F45A5A">
              <w:rPr>
                <w:rFonts w:ascii="Calibri" w:eastAsia="Times New Roman" w:hAnsi="Calibri" w:cs="Times New Roman"/>
                <w:sz w:val="28"/>
                <w:szCs w:val="28"/>
                <w:lang w:eastAsia="mk-MK"/>
              </w:rPr>
              <w:t>45,010,631</w:t>
            </w:r>
          </w:p>
        </w:tc>
        <w:tc>
          <w:tcPr>
            <w:tcW w:w="1318" w:type="dxa"/>
            <w:vAlign w:val="center"/>
          </w:tcPr>
          <w:p w:rsidR="00161F87" w:rsidRPr="00161F87" w:rsidRDefault="00161F87" w:rsidP="00161F87">
            <w:pPr>
              <w:ind w:right="237"/>
              <w:jc w:val="center"/>
              <w:rPr>
                <w:rFonts w:ascii="Calibri" w:eastAsia="Calibri" w:hAnsi="Calibri" w:cs="Times New Roman"/>
                <w:sz w:val="28"/>
                <w:szCs w:val="28"/>
              </w:rPr>
            </w:pPr>
            <w:r w:rsidRPr="00161F87">
              <w:rPr>
                <w:rFonts w:ascii="Calibri" w:eastAsia="Calibri" w:hAnsi="Calibri" w:cs="Times New Roman"/>
                <w:sz w:val="28"/>
                <w:szCs w:val="28"/>
              </w:rPr>
              <w:t>44,373,114</w:t>
            </w:r>
          </w:p>
        </w:tc>
      </w:tr>
    </w:tbl>
    <w:p w:rsidR="00F45A5A" w:rsidRPr="00F45A5A" w:rsidRDefault="00F45A5A" w:rsidP="00F45A5A">
      <w:pPr>
        <w:spacing w:after="0"/>
        <w:ind w:right="237"/>
        <w:rPr>
          <w:i/>
          <w:sz w:val="24"/>
          <w:szCs w:val="24"/>
        </w:rPr>
      </w:pPr>
    </w:p>
    <w:p w:rsidR="008C5D65" w:rsidRDefault="008C5D65" w:rsidP="008C5D65">
      <w:pPr>
        <w:ind w:right="237"/>
        <w:jc w:val="both"/>
        <w:rPr>
          <w:sz w:val="24"/>
          <w:szCs w:val="24"/>
        </w:rPr>
      </w:pPr>
      <w:r w:rsidRPr="008C5D65">
        <w:rPr>
          <w:sz w:val="24"/>
          <w:szCs w:val="24"/>
        </w:rPr>
        <w:t xml:space="preserve">Следејќи ги податоците од табелата се гледа дека вкупниот обем на </w:t>
      </w:r>
      <w:r w:rsidRPr="008C5D65">
        <w:rPr>
          <w:b/>
          <w:i/>
          <w:sz w:val="24"/>
          <w:szCs w:val="24"/>
        </w:rPr>
        <w:t>пратки за коресподенција</w:t>
      </w:r>
      <w:r w:rsidRPr="008C5D65">
        <w:rPr>
          <w:sz w:val="24"/>
          <w:szCs w:val="24"/>
        </w:rPr>
        <w:t xml:space="preserve"> наназад неколку години постојано опаѓа и тоа за значителни </w:t>
      </w:r>
      <w:r>
        <w:rPr>
          <w:sz w:val="24"/>
          <w:szCs w:val="24"/>
        </w:rPr>
        <w:t>7,9</w:t>
      </w:r>
      <w:r w:rsidRPr="008C5D65">
        <w:rPr>
          <w:sz w:val="24"/>
          <w:szCs w:val="24"/>
        </w:rPr>
        <w:t xml:space="preserve">% </w:t>
      </w:r>
      <w:r>
        <w:rPr>
          <w:sz w:val="24"/>
          <w:szCs w:val="24"/>
        </w:rPr>
        <w:t>во однос на 2012</w:t>
      </w:r>
      <w:r w:rsidRPr="008C5D65">
        <w:rPr>
          <w:sz w:val="24"/>
          <w:szCs w:val="24"/>
        </w:rPr>
        <w:t xml:space="preserve"> година, односно за </w:t>
      </w:r>
      <w:r>
        <w:rPr>
          <w:sz w:val="24"/>
          <w:szCs w:val="24"/>
        </w:rPr>
        <w:t>11,2</w:t>
      </w:r>
      <w:r w:rsidRPr="008C5D65">
        <w:rPr>
          <w:sz w:val="24"/>
          <w:szCs w:val="24"/>
        </w:rPr>
        <w:t xml:space="preserve"> % во </w:t>
      </w:r>
      <w:r>
        <w:rPr>
          <w:sz w:val="24"/>
          <w:szCs w:val="24"/>
        </w:rPr>
        <w:t>однос на 2011</w:t>
      </w:r>
      <w:r w:rsidRPr="008C5D65">
        <w:rPr>
          <w:sz w:val="24"/>
          <w:szCs w:val="24"/>
        </w:rPr>
        <w:t xml:space="preserve"> година.</w:t>
      </w:r>
    </w:p>
    <w:p w:rsidR="004C1D55" w:rsidRDefault="004C1D55" w:rsidP="008C5D65">
      <w:pPr>
        <w:ind w:right="237"/>
        <w:jc w:val="both"/>
        <w:rPr>
          <w:sz w:val="24"/>
          <w:szCs w:val="24"/>
        </w:rPr>
      </w:pPr>
    </w:p>
    <w:p w:rsidR="004C1D55" w:rsidRPr="004C1D55" w:rsidRDefault="004C1D55" w:rsidP="004C1D55">
      <w:pPr>
        <w:ind w:right="237" w:firstLine="851"/>
        <w:jc w:val="both"/>
        <w:rPr>
          <w:sz w:val="24"/>
          <w:szCs w:val="24"/>
        </w:rPr>
      </w:pPr>
      <w:r w:rsidRPr="003C4093">
        <w:rPr>
          <w:sz w:val="24"/>
          <w:szCs w:val="24"/>
        </w:rPr>
        <w:t>Од вкупниот обем на пратките за коресподенција</w:t>
      </w:r>
      <w:r w:rsidRPr="003C4093">
        <w:rPr>
          <w:b/>
          <w:i/>
          <w:sz w:val="24"/>
          <w:szCs w:val="24"/>
        </w:rPr>
        <w:t xml:space="preserve"> </w:t>
      </w:r>
      <w:r w:rsidRPr="003C4093">
        <w:rPr>
          <w:sz w:val="24"/>
          <w:szCs w:val="24"/>
        </w:rPr>
        <w:t>во групата на обични писма отпаѓа 8</w:t>
      </w:r>
      <w:r w:rsidRPr="003C4093">
        <w:rPr>
          <w:sz w:val="24"/>
          <w:szCs w:val="24"/>
          <w:lang w:val="en-US"/>
        </w:rPr>
        <w:t>6.7</w:t>
      </w:r>
      <w:r w:rsidRPr="003C4093">
        <w:rPr>
          <w:sz w:val="24"/>
          <w:szCs w:val="24"/>
        </w:rPr>
        <w:t>%</w:t>
      </w:r>
      <w:r>
        <w:rPr>
          <w:sz w:val="24"/>
          <w:szCs w:val="24"/>
        </w:rPr>
        <w:t xml:space="preserve"> (слика 9.)</w:t>
      </w:r>
      <w:r w:rsidRPr="003C4093">
        <w:rPr>
          <w:sz w:val="24"/>
          <w:szCs w:val="24"/>
        </w:rPr>
        <w:t>. Анализата не може да покаже во кој процент овие обични писма потпаѓаат под резервираната услуга од причина што не постои евиденција за процентот на обезбеде</w:t>
      </w:r>
      <w:r>
        <w:rPr>
          <w:sz w:val="24"/>
          <w:szCs w:val="24"/>
        </w:rPr>
        <w:t>ни писма со тежина до 50 грама.</w:t>
      </w:r>
    </w:p>
    <w:p w:rsidR="004C1D55" w:rsidRDefault="004C1D55" w:rsidP="008C5D65">
      <w:pPr>
        <w:ind w:right="237"/>
        <w:jc w:val="both"/>
        <w:rPr>
          <w:sz w:val="24"/>
          <w:szCs w:val="24"/>
        </w:rPr>
      </w:pPr>
    </w:p>
    <w:p w:rsidR="004C1D55" w:rsidRDefault="004C1D55" w:rsidP="008C5D65">
      <w:pPr>
        <w:ind w:right="237"/>
        <w:jc w:val="both"/>
        <w:rPr>
          <w:sz w:val="24"/>
          <w:szCs w:val="24"/>
        </w:rPr>
      </w:pPr>
    </w:p>
    <w:p w:rsidR="004C1D55" w:rsidRDefault="004C1D55" w:rsidP="008C5D65">
      <w:pPr>
        <w:ind w:right="237"/>
        <w:jc w:val="both"/>
        <w:rPr>
          <w:sz w:val="24"/>
          <w:szCs w:val="24"/>
        </w:rPr>
      </w:pPr>
    </w:p>
    <w:p w:rsidR="004C1D55" w:rsidRPr="008C5D65" w:rsidRDefault="004C1D55" w:rsidP="004C1D55">
      <w:pPr>
        <w:ind w:right="237"/>
        <w:rPr>
          <w:sz w:val="24"/>
          <w:szCs w:val="24"/>
        </w:rPr>
      </w:pPr>
    </w:p>
    <w:p w:rsidR="008C5D65" w:rsidRDefault="008C5D65" w:rsidP="004C1D55">
      <w:pPr>
        <w:spacing w:after="0"/>
        <w:ind w:right="237"/>
        <w:jc w:val="center"/>
        <w:rPr>
          <w:i/>
          <w:sz w:val="24"/>
          <w:szCs w:val="24"/>
        </w:rPr>
      </w:pPr>
      <w:r w:rsidRPr="008C5D65">
        <w:rPr>
          <w:i/>
          <w:sz w:val="24"/>
          <w:szCs w:val="24"/>
        </w:rPr>
        <w:lastRenderedPageBreak/>
        <w:t>Слика 9:</w:t>
      </w:r>
      <w:r>
        <w:rPr>
          <w:i/>
          <w:sz w:val="24"/>
          <w:szCs w:val="24"/>
        </w:rPr>
        <w:t xml:space="preserve"> </w:t>
      </w:r>
      <w:r w:rsidRPr="008C5D65">
        <w:rPr>
          <w:i/>
          <w:sz w:val="24"/>
          <w:szCs w:val="24"/>
        </w:rPr>
        <w:t>Анализа на писма – Македонска пошта</w:t>
      </w:r>
      <w:r w:rsidR="003C4093">
        <w:rPr>
          <w:i/>
          <w:sz w:val="24"/>
          <w:szCs w:val="24"/>
        </w:rPr>
        <w:t xml:space="preserve"> 2014</w:t>
      </w:r>
      <w:r w:rsidRPr="008C5D65">
        <w:rPr>
          <w:i/>
          <w:sz w:val="24"/>
          <w:szCs w:val="24"/>
        </w:rPr>
        <w:t xml:space="preserve"> година</w:t>
      </w:r>
    </w:p>
    <w:p w:rsidR="008C5D65" w:rsidRDefault="008C5D65" w:rsidP="008C5D65">
      <w:pPr>
        <w:spacing w:after="0"/>
        <w:ind w:right="237"/>
        <w:rPr>
          <w:i/>
          <w:sz w:val="24"/>
          <w:szCs w:val="24"/>
        </w:rPr>
      </w:pPr>
    </w:p>
    <w:p w:rsidR="008C5D65" w:rsidRPr="008C5D65" w:rsidRDefault="008C5D65" w:rsidP="00826D59">
      <w:pPr>
        <w:spacing w:after="0"/>
        <w:ind w:right="237"/>
        <w:jc w:val="center"/>
        <w:rPr>
          <w:i/>
          <w:sz w:val="24"/>
          <w:szCs w:val="24"/>
        </w:rPr>
      </w:pPr>
      <w:r>
        <w:rPr>
          <w:noProof/>
          <w:lang w:eastAsia="mk-MK"/>
        </w:rPr>
        <w:drawing>
          <wp:inline distT="0" distB="0" distL="0" distR="0" wp14:anchorId="4557DB3F" wp14:editId="5682DF32">
            <wp:extent cx="5905500" cy="30575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7486" w:rsidRPr="00B97486" w:rsidRDefault="00B97486" w:rsidP="00B97486">
      <w:pPr>
        <w:rPr>
          <w:sz w:val="32"/>
          <w:szCs w:val="32"/>
        </w:rPr>
      </w:pPr>
    </w:p>
    <w:p w:rsidR="00122C72" w:rsidRDefault="00122C72" w:rsidP="00122C72">
      <w:pPr>
        <w:spacing w:after="0"/>
        <w:jc w:val="both"/>
        <w:rPr>
          <w:b/>
          <w:i/>
          <w:color w:val="000000" w:themeColor="text1"/>
          <w:sz w:val="24"/>
          <w:szCs w:val="24"/>
        </w:rPr>
      </w:pPr>
    </w:p>
    <w:p w:rsidR="00122C72" w:rsidRDefault="00122C72" w:rsidP="004C1D55">
      <w:pPr>
        <w:spacing w:after="0"/>
        <w:jc w:val="center"/>
        <w:rPr>
          <w:i/>
          <w:color w:val="000000" w:themeColor="text1"/>
          <w:sz w:val="24"/>
          <w:szCs w:val="24"/>
        </w:rPr>
      </w:pPr>
      <w:r w:rsidRPr="00122C72">
        <w:rPr>
          <w:i/>
          <w:color w:val="000000" w:themeColor="text1"/>
          <w:sz w:val="24"/>
          <w:szCs w:val="24"/>
        </w:rPr>
        <w:t xml:space="preserve">Слика 10: Поштенски пратки во рамките на универзалната </w:t>
      </w:r>
      <w:r>
        <w:rPr>
          <w:i/>
          <w:color w:val="000000" w:themeColor="text1"/>
          <w:sz w:val="24"/>
          <w:szCs w:val="24"/>
        </w:rPr>
        <w:t>услуга кај Македонска пошта 2014</w:t>
      </w:r>
      <w:r w:rsidRPr="00122C72">
        <w:rPr>
          <w:i/>
          <w:color w:val="000000" w:themeColor="text1"/>
          <w:sz w:val="24"/>
          <w:szCs w:val="24"/>
        </w:rPr>
        <w:t xml:space="preserve"> година</w:t>
      </w:r>
    </w:p>
    <w:p w:rsidR="003A40CD" w:rsidRPr="00122C72" w:rsidRDefault="003A40CD" w:rsidP="00122C72">
      <w:pPr>
        <w:spacing w:after="0"/>
        <w:jc w:val="both"/>
        <w:rPr>
          <w:i/>
          <w:color w:val="000000" w:themeColor="text1"/>
          <w:sz w:val="24"/>
          <w:szCs w:val="24"/>
        </w:rPr>
      </w:pPr>
    </w:p>
    <w:p w:rsidR="00B97486" w:rsidRPr="00B97486" w:rsidRDefault="00826D59" w:rsidP="00B97486">
      <w:pPr>
        <w:rPr>
          <w:sz w:val="32"/>
          <w:szCs w:val="32"/>
        </w:rPr>
      </w:pPr>
      <w:r>
        <w:rPr>
          <w:noProof/>
          <w:lang w:eastAsia="mk-MK"/>
        </w:rPr>
        <w:drawing>
          <wp:inline distT="0" distB="0" distL="0" distR="0" wp14:anchorId="1D674877" wp14:editId="1E53CB3C">
            <wp:extent cx="5886450" cy="31146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6203" w:rsidRDefault="00126203" w:rsidP="00126203">
      <w:pPr>
        <w:spacing w:after="0"/>
        <w:ind w:right="237"/>
        <w:jc w:val="both"/>
        <w:rPr>
          <w:b/>
          <w:i/>
          <w:sz w:val="24"/>
          <w:szCs w:val="24"/>
        </w:rPr>
      </w:pPr>
    </w:p>
    <w:p w:rsidR="004C1D55" w:rsidRDefault="004C1D55" w:rsidP="00126203">
      <w:pPr>
        <w:spacing w:after="0"/>
        <w:ind w:right="237"/>
        <w:jc w:val="both"/>
        <w:rPr>
          <w:b/>
          <w:i/>
          <w:sz w:val="24"/>
          <w:szCs w:val="24"/>
        </w:rPr>
      </w:pPr>
    </w:p>
    <w:p w:rsidR="00126203" w:rsidRDefault="00126203" w:rsidP="004C1D55">
      <w:pPr>
        <w:spacing w:after="0"/>
        <w:ind w:right="237"/>
        <w:jc w:val="center"/>
        <w:rPr>
          <w:i/>
          <w:sz w:val="24"/>
          <w:szCs w:val="24"/>
        </w:rPr>
      </w:pPr>
      <w:r w:rsidRPr="00126203">
        <w:rPr>
          <w:i/>
          <w:sz w:val="24"/>
          <w:szCs w:val="24"/>
        </w:rPr>
        <w:lastRenderedPageBreak/>
        <w:t>Слика 11: Број на поштенски пратки пренесени во внатрешен и меѓународен поштенски сообраќај  – Македонска пошта</w:t>
      </w:r>
      <w:r>
        <w:rPr>
          <w:i/>
          <w:sz w:val="24"/>
          <w:szCs w:val="24"/>
        </w:rPr>
        <w:t xml:space="preserve"> 2014</w:t>
      </w:r>
      <w:r w:rsidRPr="00126203">
        <w:rPr>
          <w:i/>
          <w:sz w:val="24"/>
          <w:szCs w:val="24"/>
        </w:rPr>
        <w:t xml:space="preserve"> год.</w:t>
      </w:r>
    </w:p>
    <w:p w:rsidR="00126203" w:rsidRPr="00126203" w:rsidRDefault="00126203" w:rsidP="00126203">
      <w:pPr>
        <w:spacing w:after="0"/>
        <w:ind w:right="237"/>
        <w:jc w:val="both"/>
        <w:rPr>
          <w:i/>
          <w:sz w:val="24"/>
          <w:szCs w:val="24"/>
        </w:rPr>
      </w:pPr>
    </w:p>
    <w:tbl>
      <w:tblPr>
        <w:tblStyle w:val="TableGrid3"/>
        <w:tblW w:w="0" w:type="auto"/>
        <w:tblBorders>
          <w:left w:val="single" w:sz="4" w:space="0" w:color="000000" w:themeColor="text1"/>
          <w:bottom w:val="single" w:sz="4" w:space="0" w:color="8064A2" w:themeColor="accent4"/>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080"/>
        <w:gridCol w:w="3081"/>
        <w:gridCol w:w="3081"/>
      </w:tblGrid>
      <w:tr w:rsidR="00126203" w:rsidRPr="00126203" w:rsidTr="00126203">
        <w:trPr>
          <w:trHeight w:val="275"/>
        </w:trPr>
        <w:tc>
          <w:tcPr>
            <w:tcW w:w="3080" w:type="dxa"/>
            <w:shd w:val="clear" w:color="auto" w:fill="DA105D"/>
          </w:tcPr>
          <w:p w:rsidR="00126203" w:rsidRPr="00126203" w:rsidRDefault="00126203" w:rsidP="00126203">
            <w:pPr>
              <w:ind w:right="237"/>
              <w:jc w:val="center"/>
              <w:rPr>
                <w:color w:val="FFFFFF" w:themeColor="background1"/>
                <w:sz w:val="28"/>
                <w:szCs w:val="28"/>
              </w:rPr>
            </w:pPr>
          </w:p>
        </w:tc>
        <w:tc>
          <w:tcPr>
            <w:tcW w:w="6162" w:type="dxa"/>
            <w:gridSpan w:val="2"/>
            <w:shd w:val="clear" w:color="auto" w:fill="DA105D"/>
          </w:tcPr>
          <w:p w:rsidR="00126203" w:rsidRPr="00126203" w:rsidRDefault="00126203" w:rsidP="00126203">
            <w:pPr>
              <w:ind w:right="237"/>
              <w:jc w:val="center"/>
              <w:rPr>
                <w:color w:val="FFFFFF" w:themeColor="background1"/>
                <w:sz w:val="28"/>
                <w:szCs w:val="28"/>
              </w:rPr>
            </w:pPr>
            <w:r w:rsidRPr="00126203">
              <w:rPr>
                <w:color w:val="FFFFFF" w:themeColor="background1"/>
                <w:sz w:val="28"/>
                <w:szCs w:val="28"/>
              </w:rPr>
              <w:t>Македонска пошта</w:t>
            </w:r>
          </w:p>
        </w:tc>
      </w:tr>
      <w:tr w:rsidR="00126203" w:rsidRPr="00126203" w:rsidTr="00126203">
        <w:tblPrEx>
          <w:tblLook w:val="04A0" w:firstRow="1" w:lastRow="0" w:firstColumn="1" w:lastColumn="0" w:noHBand="0" w:noVBand="1"/>
        </w:tblPrEx>
        <w:tc>
          <w:tcPr>
            <w:tcW w:w="3080" w:type="dxa"/>
            <w:shd w:val="clear" w:color="auto" w:fill="DA105D"/>
          </w:tcPr>
          <w:p w:rsidR="00126203" w:rsidRPr="00126203" w:rsidRDefault="00126203" w:rsidP="00126203">
            <w:pPr>
              <w:ind w:right="237"/>
              <w:jc w:val="center"/>
              <w:rPr>
                <w:color w:val="FFFFFF" w:themeColor="background1"/>
                <w:sz w:val="28"/>
                <w:szCs w:val="28"/>
              </w:rPr>
            </w:pPr>
            <w:r w:rsidRPr="00126203">
              <w:rPr>
                <w:color w:val="FFFFFF" w:themeColor="background1"/>
                <w:sz w:val="28"/>
                <w:szCs w:val="28"/>
              </w:rPr>
              <w:t>Вид на пратка</w:t>
            </w:r>
          </w:p>
        </w:tc>
        <w:tc>
          <w:tcPr>
            <w:tcW w:w="3081" w:type="dxa"/>
            <w:shd w:val="clear" w:color="auto" w:fill="DA105D"/>
            <w:vAlign w:val="center"/>
          </w:tcPr>
          <w:p w:rsidR="00126203" w:rsidRPr="00126203" w:rsidRDefault="00126203" w:rsidP="00126203">
            <w:pPr>
              <w:ind w:right="237"/>
              <w:jc w:val="center"/>
              <w:rPr>
                <w:color w:val="FFFFFF" w:themeColor="background1"/>
                <w:sz w:val="28"/>
                <w:szCs w:val="28"/>
              </w:rPr>
            </w:pPr>
            <w:r w:rsidRPr="00126203">
              <w:rPr>
                <w:color w:val="FFFFFF" w:themeColor="background1"/>
                <w:sz w:val="28"/>
                <w:szCs w:val="28"/>
              </w:rPr>
              <w:t>Внатрешен сообраќај</w:t>
            </w:r>
          </w:p>
        </w:tc>
        <w:tc>
          <w:tcPr>
            <w:tcW w:w="3081" w:type="dxa"/>
            <w:shd w:val="clear" w:color="auto" w:fill="DA105D"/>
            <w:vAlign w:val="center"/>
          </w:tcPr>
          <w:p w:rsidR="00126203" w:rsidRPr="00126203" w:rsidRDefault="00126203" w:rsidP="00126203">
            <w:pPr>
              <w:ind w:right="237"/>
              <w:jc w:val="center"/>
              <w:rPr>
                <w:color w:val="FFFFFF" w:themeColor="background1"/>
                <w:sz w:val="28"/>
                <w:szCs w:val="28"/>
              </w:rPr>
            </w:pPr>
            <w:r w:rsidRPr="00126203">
              <w:rPr>
                <w:color w:val="FFFFFF" w:themeColor="background1"/>
                <w:sz w:val="28"/>
                <w:szCs w:val="28"/>
              </w:rPr>
              <w:t>Меѓународен сообраќај</w:t>
            </w:r>
          </w:p>
        </w:tc>
      </w:tr>
      <w:tr w:rsidR="00126203" w:rsidRPr="00126203" w:rsidTr="00126203">
        <w:tblPrEx>
          <w:tblLook w:val="04A0" w:firstRow="1" w:lastRow="0" w:firstColumn="1" w:lastColumn="0" w:noHBand="0" w:noVBand="1"/>
        </w:tblPrEx>
        <w:tc>
          <w:tcPr>
            <w:tcW w:w="3080" w:type="dxa"/>
            <w:vAlign w:val="center"/>
          </w:tcPr>
          <w:p w:rsidR="00126203" w:rsidRPr="00126203" w:rsidRDefault="00126203" w:rsidP="00126203">
            <w:pPr>
              <w:ind w:right="237"/>
              <w:rPr>
                <w:sz w:val="28"/>
                <w:szCs w:val="28"/>
              </w:rPr>
            </w:pPr>
            <w:r w:rsidRPr="00126203">
              <w:rPr>
                <w:sz w:val="28"/>
                <w:szCs w:val="28"/>
              </w:rPr>
              <w:t xml:space="preserve">Пратки за коресподенција </w:t>
            </w:r>
          </w:p>
        </w:tc>
        <w:tc>
          <w:tcPr>
            <w:tcW w:w="3081" w:type="dxa"/>
            <w:vAlign w:val="center"/>
          </w:tcPr>
          <w:p w:rsidR="00126203" w:rsidRPr="00126203" w:rsidRDefault="00EF5C15" w:rsidP="00126203">
            <w:pPr>
              <w:ind w:right="237"/>
              <w:jc w:val="center"/>
              <w:rPr>
                <w:sz w:val="28"/>
                <w:szCs w:val="28"/>
              </w:rPr>
            </w:pPr>
            <w:r>
              <w:rPr>
                <w:sz w:val="28"/>
                <w:szCs w:val="28"/>
              </w:rPr>
              <w:t>41,771,154</w:t>
            </w:r>
          </w:p>
        </w:tc>
        <w:tc>
          <w:tcPr>
            <w:tcW w:w="3081" w:type="dxa"/>
            <w:vAlign w:val="center"/>
          </w:tcPr>
          <w:p w:rsidR="00126203" w:rsidRPr="00126203" w:rsidRDefault="00EF5C15" w:rsidP="00126203">
            <w:pPr>
              <w:ind w:right="237"/>
              <w:jc w:val="center"/>
              <w:rPr>
                <w:sz w:val="28"/>
                <w:szCs w:val="28"/>
              </w:rPr>
            </w:pPr>
            <w:r>
              <w:rPr>
                <w:sz w:val="28"/>
                <w:szCs w:val="28"/>
              </w:rPr>
              <w:t>2,601,960</w:t>
            </w:r>
          </w:p>
        </w:tc>
      </w:tr>
      <w:tr w:rsidR="00126203" w:rsidRPr="00126203" w:rsidTr="00126203">
        <w:tblPrEx>
          <w:tblLook w:val="04A0" w:firstRow="1" w:lastRow="0" w:firstColumn="1" w:lastColumn="0" w:noHBand="0" w:noVBand="1"/>
        </w:tblPrEx>
        <w:tc>
          <w:tcPr>
            <w:tcW w:w="3080" w:type="dxa"/>
            <w:vAlign w:val="center"/>
          </w:tcPr>
          <w:p w:rsidR="00126203" w:rsidRPr="00126203" w:rsidRDefault="00126203" w:rsidP="00126203">
            <w:pPr>
              <w:ind w:right="237"/>
              <w:rPr>
                <w:sz w:val="28"/>
                <w:szCs w:val="28"/>
              </w:rPr>
            </w:pPr>
            <w:r w:rsidRPr="00126203">
              <w:rPr>
                <w:sz w:val="28"/>
                <w:szCs w:val="28"/>
              </w:rPr>
              <w:t>Пакети</w:t>
            </w:r>
          </w:p>
        </w:tc>
        <w:tc>
          <w:tcPr>
            <w:tcW w:w="3081" w:type="dxa"/>
            <w:vAlign w:val="center"/>
          </w:tcPr>
          <w:p w:rsidR="00126203" w:rsidRPr="00126203" w:rsidRDefault="00EF5C15" w:rsidP="00126203">
            <w:pPr>
              <w:ind w:right="237"/>
              <w:jc w:val="center"/>
              <w:rPr>
                <w:sz w:val="28"/>
                <w:szCs w:val="28"/>
              </w:rPr>
            </w:pPr>
            <w:r>
              <w:rPr>
                <w:sz w:val="28"/>
                <w:szCs w:val="28"/>
              </w:rPr>
              <w:t>90,828</w:t>
            </w:r>
          </w:p>
        </w:tc>
        <w:tc>
          <w:tcPr>
            <w:tcW w:w="3081" w:type="dxa"/>
            <w:vAlign w:val="center"/>
          </w:tcPr>
          <w:p w:rsidR="00126203" w:rsidRPr="00126203" w:rsidRDefault="00EF5C15" w:rsidP="00126203">
            <w:pPr>
              <w:ind w:right="237"/>
              <w:jc w:val="center"/>
              <w:rPr>
                <w:sz w:val="28"/>
                <w:szCs w:val="28"/>
              </w:rPr>
            </w:pPr>
            <w:r>
              <w:rPr>
                <w:sz w:val="28"/>
                <w:szCs w:val="28"/>
              </w:rPr>
              <w:t>25,184</w:t>
            </w:r>
          </w:p>
        </w:tc>
      </w:tr>
      <w:tr w:rsidR="00126203" w:rsidRPr="00126203" w:rsidTr="00126203">
        <w:tblPrEx>
          <w:tblLook w:val="04A0" w:firstRow="1" w:lastRow="0" w:firstColumn="1" w:lastColumn="0" w:noHBand="0" w:noVBand="1"/>
        </w:tblPrEx>
        <w:tc>
          <w:tcPr>
            <w:tcW w:w="3080" w:type="dxa"/>
            <w:vAlign w:val="center"/>
          </w:tcPr>
          <w:p w:rsidR="00126203" w:rsidRPr="00126203" w:rsidRDefault="00126203" w:rsidP="00126203">
            <w:pPr>
              <w:ind w:right="237"/>
              <w:rPr>
                <w:sz w:val="28"/>
                <w:szCs w:val="28"/>
              </w:rPr>
            </w:pPr>
            <w:r w:rsidRPr="00126203">
              <w:rPr>
                <w:rFonts w:ascii="Calibri" w:eastAsia="Times New Roman" w:hAnsi="Calibri" w:cs="Times New Roman"/>
                <w:sz w:val="28"/>
                <w:szCs w:val="28"/>
                <w:lang w:val="ru-RU" w:eastAsia="mk-MK"/>
              </w:rPr>
              <w:t>Печатени работи</w:t>
            </w:r>
          </w:p>
        </w:tc>
        <w:tc>
          <w:tcPr>
            <w:tcW w:w="3081" w:type="dxa"/>
            <w:vAlign w:val="center"/>
          </w:tcPr>
          <w:p w:rsidR="00126203" w:rsidRPr="00126203" w:rsidRDefault="00EF5C15" w:rsidP="00126203">
            <w:pPr>
              <w:ind w:right="237"/>
              <w:jc w:val="center"/>
              <w:rPr>
                <w:sz w:val="28"/>
                <w:szCs w:val="28"/>
              </w:rPr>
            </w:pPr>
            <w:r>
              <w:rPr>
                <w:sz w:val="28"/>
                <w:szCs w:val="28"/>
              </w:rPr>
              <w:t>1,768,508</w:t>
            </w:r>
          </w:p>
        </w:tc>
        <w:tc>
          <w:tcPr>
            <w:tcW w:w="3081" w:type="dxa"/>
            <w:vAlign w:val="center"/>
          </w:tcPr>
          <w:p w:rsidR="00126203" w:rsidRPr="00126203" w:rsidRDefault="00EF5C15" w:rsidP="00126203">
            <w:pPr>
              <w:ind w:right="237"/>
              <w:jc w:val="center"/>
              <w:rPr>
                <w:sz w:val="28"/>
                <w:szCs w:val="28"/>
              </w:rPr>
            </w:pPr>
            <w:r>
              <w:rPr>
                <w:sz w:val="28"/>
                <w:szCs w:val="28"/>
              </w:rPr>
              <w:t>264,250</w:t>
            </w:r>
          </w:p>
        </w:tc>
      </w:tr>
    </w:tbl>
    <w:p w:rsidR="00B97486" w:rsidRPr="00126203" w:rsidRDefault="00B97486" w:rsidP="00B97486">
      <w:pPr>
        <w:rPr>
          <w:sz w:val="32"/>
          <w:szCs w:val="32"/>
        </w:rPr>
      </w:pPr>
    </w:p>
    <w:p w:rsidR="009B51B4" w:rsidRPr="009B51B4" w:rsidRDefault="009B51B4" w:rsidP="004C1D55">
      <w:pPr>
        <w:tabs>
          <w:tab w:val="left" w:pos="5265"/>
        </w:tabs>
        <w:spacing w:after="0"/>
        <w:ind w:firstLine="851"/>
        <w:jc w:val="both"/>
        <w:rPr>
          <w:sz w:val="24"/>
          <w:szCs w:val="24"/>
        </w:rPr>
      </w:pPr>
      <w:r w:rsidRPr="009B51B4">
        <w:rPr>
          <w:sz w:val="24"/>
          <w:szCs w:val="24"/>
        </w:rPr>
        <w:t>Македонска пошта остварениот обем на поштенските услуги најмногу го генерира од обезбедување на услугите во внатрешен поштенски сообраќај и тоа значителни 94 % од остварениот сообраќај е од пратки во внатрешен сообраќај.</w:t>
      </w:r>
    </w:p>
    <w:p w:rsidR="009B51B4" w:rsidRDefault="009B51B4" w:rsidP="009B51B4">
      <w:pPr>
        <w:spacing w:after="0"/>
        <w:jc w:val="both"/>
        <w:rPr>
          <w:b/>
          <w:i/>
          <w:sz w:val="24"/>
          <w:szCs w:val="24"/>
        </w:rPr>
      </w:pPr>
    </w:p>
    <w:p w:rsidR="009B51B4" w:rsidRDefault="009B51B4" w:rsidP="009B51B4">
      <w:pPr>
        <w:spacing w:after="0"/>
        <w:jc w:val="both"/>
        <w:rPr>
          <w:b/>
          <w:i/>
          <w:sz w:val="24"/>
          <w:szCs w:val="24"/>
        </w:rPr>
      </w:pPr>
    </w:p>
    <w:p w:rsidR="009B51B4" w:rsidRPr="009B51B4" w:rsidRDefault="009B51B4" w:rsidP="004C1D55">
      <w:pPr>
        <w:spacing w:after="0"/>
        <w:jc w:val="center"/>
        <w:rPr>
          <w:i/>
          <w:sz w:val="24"/>
          <w:szCs w:val="24"/>
        </w:rPr>
      </w:pPr>
      <w:r w:rsidRPr="009B51B4">
        <w:rPr>
          <w:i/>
          <w:sz w:val="24"/>
          <w:szCs w:val="24"/>
        </w:rPr>
        <w:t>Слика 12: Сообраќај по вид на пратки кај Македонска пошта во внатрешен и меѓународен сообраќај -</w:t>
      </w:r>
      <w:r w:rsidRPr="009653C3">
        <w:rPr>
          <w:i/>
          <w:sz w:val="24"/>
          <w:szCs w:val="24"/>
        </w:rPr>
        <w:t xml:space="preserve"> 2014</w:t>
      </w:r>
      <w:r w:rsidRPr="009B51B4">
        <w:rPr>
          <w:i/>
          <w:sz w:val="24"/>
          <w:szCs w:val="24"/>
        </w:rPr>
        <w:t xml:space="preserve"> година</w:t>
      </w:r>
    </w:p>
    <w:p w:rsidR="009B51B4" w:rsidRDefault="009B51B4" w:rsidP="00B97486">
      <w:pPr>
        <w:rPr>
          <w:sz w:val="32"/>
          <w:szCs w:val="32"/>
        </w:rPr>
      </w:pPr>
      <w:r>
        <w:rPr>
          <w:noProof/>
          <w:lang w:eastAsia="mk-MK"/>
        </w:rPr>
        <w:drawing>
          <wp:inline distT="0" distB="0" distL="0" distR="0" wp14:anchorId="66DAFF60" wp14:editId="7A83F8F6">
            <wp:extent cx="5924550" cy="33909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51B4" w:rsidRPr="00B97486" w:rsidRDefault="009B51B4" w:rsidP="00B97486">
      <w:pPr>
        <w:rPr>
          <w:sz w:val="32"/>
          <w:szCs w:val="32"/>
        </w:rPr>
      </w:pPr>
    </w:p>
    <w:p w:rsidR="000F2F93" w:rsidRPr="000F2F93" w:rsidRDefault="000F2F93" w:rsidP="004C1D55">
      <w:pPr>
        <w:ind w:right="237" w:firstLine="851"/>
        <w:jc w:val="both"/>
        <w:rPr>
          <w:sz w:val="24"/>
          <w:szCs w:val="24"/>
        </w:rPr>
      </w:pPr>
      <w:r w:rsidRPr="000F2F93">
        <w:rPr>
          <w:sz w:val="24"/>
          <w:szCs w:val="24"/>
        </w:rPr>
        <w:t>Во внатрешниот поштенски сообраќај обезбедувањето на пратките за коресподенција е повеќе од 9</w:t>
      </w:r>
      <w:r>
        <w:rPr>
          <w:sz w:val="24"/>
          <w:szCs w:val="24"/>
        </w:rPr>
        <w:t>6</w:t>
      </w:r>
      <w:r w:rsidRPr="000F2F93">
        <w:rPr>
          <w:sz w:val="24"/>
          <w:szCs w:val="24"/>
        </w:rPr>
        <w:t xml:space="preserve">%, додека </w:t>
      </w:r>
      <w:r w:rsidR="009C160B">
        <w:rPr>
          <w:sz w:val="24"/>
          <w:szCs w:val="24"/>
        </w:rPr>
        <w:t xml:space="preserve">за </w:t>
      </w:r>
      <w:r w:rsidRPr="000F2F93">
        <w:rPr>
          <w:sz w:val="24"/>
          <w:szCs w:val="24"/>
        </w:rPr>
        <w:t xml:space="preserve">обезбедувањето на останатите услуги отпаѓа помалку од </w:t>
      </w:r>
      <w:r>
        <w:rPr>
          <w:sz w:val="24"/>
          <w:szCs w:val="24"/>
        </w:rPr>
        <w:t>4%</w:t>
      </w:r>
      <w:r w:rsidRPr="000F2F93">
        <w:rPr>
          <w:sz w:val="24"/>
          <w:szCs w:val="24"/>
        </w:rPr>
        <w:t>.</w:t>
      </w:r>
    </w:p>
    <w:p w:rsidR="006A3417" w:rsidRDefault="006A3417" w:rsidP="006A3417">
      <w:pPr>
        <w:tabs>
          <w:tab w:val="left" w:pos="1134"/>
        </w:tabs>
        <w:ind w:right="95"/>
        <w:contextualSpacing/>
        <w:rPr>
          <w:sz w:val="32"/>
          <w:szCs w:val="32"/>
        </w:rPr>
      </w:pPr>
    </w:p>
    <w:p w:rsidR="006A3417" w:rsidRPr="004C1D55" w:rsidRDefault="004C1D55" w:rsidP="006A3417">
      <w:pPr>
        <w:tabs>
          <w:tab w:val="left" w:pos="1134"/>
        </w:tabs>
        <w:ind w:right="95"/>
        <w:contextualSpacing/>
        <w:rPr>
          <w:b/>
          <w:i/>
          <w:sz w:val="24"/>
          <w:szCs w:val="24"/>
          <w:u w:val="single"/>
        </w:rPr>
      </w:pPr>
      <w:r w:rsidRPr="004C1D55">
        <w:rPr>
          <w:b/>
          <w:i/>
          <w:sz w:val="24"/>
          <w:szCs w:val="24"/>
          <w:u w:val="single"/>
        </w:rPr>
        <w:t xml:space="preserve">5.1.3 </w:t>
      </w:r>
      <w:r w:rsidR="006A3417" w:rsidRPr="004C1D55">
        <w:rPr>
          <w:b/>
          <w:i/>
          <w:sz w:val="24"/>
          <w:szCs w:val="24"/>
          <w:u w:val="single"/>
        </w:rPr>
        <w:t>Анализа на пакети кај Македонска пошта</w:t>
      </w:r>
    </w:p>
    <w:p w:rsidR="006A3417" w:rsidRDefault="006A3417" w:rsidP="006A3417">
      <w:pPr>
        <w:tabs>
          <w:tab w:val="left" w:pos="1134"/>
        </w:tabs>
        <w:ind w:right="95"/>
        <w:contextualSpacing/>
        <w:rPr>
          <w:b/>
          <w:i/>
          <w:sz w:val="32"/>
          <w:szCs w:val="32"/>
          <w:u w:val="single"/>
        </w:rPr>
      </w:pPr>
    </w:p>
    <w:p w:rsidR="009653C3" w:rsidRPr="006A3417" w:rsidRDefault="006A3417" w:rsidP="004C1D55">
      <w:pPr>
        <w:ind w:right="237" w:firstLine="851"/>
        <w:jc w:val="both"/>
        <w:rPr>
          <w:sz w:val="24"/>
          <w:szCs w:val="24"/>
        </w:rPr>
      </w:pPr>
      <w:r w:rsidRPr="006A3417">
        <w:rPr>
          <w:sz w:val="24"/>
          <w:szCs w:val="24"/>
        </w:rPr>
        <w:t>Негативниот тренд на опаѓање на обемот на пошт</w:t>
      </w:r>
      <w:r>
        <w:rPr>
          <w:sz w:val="24"/>
          <w:szCs w:val="24"/>
        </w:rPr>
        <w:t>енските пратки забележан во 2014</w:t>
      </w:r>
      <w:r w:rsidRPr="006A3417">
        <w:rPr>
          <w:sz w:val="24"/>
          <w:szCs w:val="24"/>
        </w:rPr>
        <w:t xml:space="preserve"> година кај Македонска пошта се отсликува посебно кај обезбедувањето на услугата – пакети.</w:t>
      </w:r>
    </w:p>
    <w:p w:rsidR="006A3417" w:rsidRPr="009653C3" w:rsidRDefault="006A3417" w:rsidP="004C1D55">
      <w:pPr>
        <w:ind w:right="237"/>
        <w:jc w:val="center"/>
        <w:rPr>
          <w:i/>
          <w:sz w:val="24"/>
          <w:szCs w:val="24"/>
        </w:rPr>
      </w:pPr>
      <w:r w:rsidRPr="006A3417">
        <w:rPr>
          <w:i/>
          <w:sz w:val="24"/>
          <w:szCs w:val="24"/>
        </w:rPr>
        <w:t>Слика 14: Број на пакети  – Македонска пошта</w:t>
      </w:r>
      <w:r w:rsidRPr="009653C3">
        <w:rPr>
          <w:i/>
          <w:sz w:val="24"/>
          <w:szCs w:val="24"/>
        </w:rPr>
        <w:t xml:space="preserve"> 2010 -2014</w:t>
      </w:r>
      <w:r w:rsidRPr="006A3417">
        <w:rPr>
          <w:i/>
          <w:sz w:val="24"/>
          <w:szCs w:val="24"/>
        </w:rPr>
        <w:t xml:space="preserve"> год.</w:t>
      </w:r>
    </w:p>
    <w:tbl>
      <w:tblPr>
        <w:tblStyle w:val="TableGrid4"/>
        <w:tblW w:w="0" w:type="auto"/>
        <w:shd w:val="clear" w:color="auto" w:fill="8064A2" w:themeFill="accent4"/>
        <w:tblLook w:val="04A0" w:firstRow="1" w:lastRow="0" w:firstColumn="1" w:lastColumn="0" w:noHBand="0" w:noVBand="1"/>
      </w:tblPr>
      <w:tblGrid>
        <w:gridCol w:w="1932"/>
        <w:gridCol w:w="1575"/>
        <w:gridCol w:w="1563"/>
        <w:gridCol w:w="1701"/>
        <w:gridCol w:w="1417"/>
        <w:gridCol w:w="1645"/>
      </w:tblGrid>
      <w:tr w:rsidR="006A3417" w:rsidRPr="006A3417" w:rsidTr="007913A2">
        <w:tc>
          <w:tcPr>
            <w:tcW w:w="1932" w:type="dxa"/>
            <w:tcBorders>
              <w:bottom w:val="single" w:sz="4" w:space="0" w:color="000000" w:themeColor="text1"/>
            </w:tcBorders>
            <w:shd w:val="clear" w:color="auto" w:fill="DA105D"/>
          </w:tcPr>
          <w:p w:rsidR="006A3417" w:rsidRPr="006A3417" w:rsidRDefault="006A3417" w:rsidP="006A3417">
            <w:pPr>
              <w:ind w:right="237"/>
              <w:rPr>
                <w:rFonts w:ascii="Calibri" w:eastAsia="Calibri" w:hAnsi="Calibri" w:cs="Times New Roman"/>
                <w:color w:val="FFFFFF" w:themeColor="background1"/>
                <w:sz w:val="28"/>
                <w:szCs w:val="28"/>
              </w:rPr>
            </w:pPr>
            <w:r w:rsidRPr="006A3417">
              <w:rPr>
                <w:rFonts w:ascii="Calibri" w:eastAsia="Calibri" w:hAnsi="Calibri" w:cs="Times New Roman"/>
                <w:color w:val="FFFFFF" w:themeColor="background1"/>
                <w:sz w:val="28"/>
                <w:szCs w:val="28"/>
              </w:rPr>
              <w:t xml:space="preserve">Македонска пошта </w:t>
            </w:r>
          </w:p>
        </w:tc>
        <w:tc>
          <w:tcPr>
            <w:tcW w:w="1575" w:type="dxa"/>
            <w:tcBorders>
              <w:bottom w:val="single" w:sz="4" w:space="0" w:color="000000" w:themeColor="text1"/>
            </w:tcBorders>
            <w:shd w:val="clear" w:color="auto" w:fill="DA105D"/>
          </w:tcPr>
          <w:p w:rsidR="006A3417" w:rsidRPr="006A3417" w:rsidRDefault="006A3417" w:rsidP="006A3417">
            <w:pPr>
              <w:ind w:right="237"/>
              <w:jc w:val="center"/>
              <w:rPr>
                <w:rFonts w:ascii="Calibri" w:eastAsia="Calibri" w:hAnsi="Calibri" w:cs="Times New Roman"/>
                <w:color w:val="FFFFFF"/>
                <w:sz w:val="28"/>
                <w:szCs w:val="28"/>
              </w:rPr>
            </w:pPr>
            <w:r w:rsidRPr="006A3417">
              <w:rPr>
                <w:rFonts w:ascii="Calibri" w:eastAsia="Calibri" w:hAnsi="Calibri" w:cs="Times New Roman"/>
                <w:color w:val="FFFFFF"/>
                <w:sz w:val="28"/>
                <w:szCs w:val="28"/>
              </w:rPr>
              <w:t>2010 година</w:t>
            </w:r>
          </w:p>
        </w:tc>
        <w:tc>
          <w:tcPr>
            <w:tcW w:w="1563" w:type="dxa"/>
            <w:tcBorders>
              <w:bottom w:val="single" w:sz="4" w:space="0" w:color="000000" w:themeColor="text1"/>
            </w:tcBorders>
            <w:shd w:val="clear" w:color="auto" w:fill="DA105D"/>
          </w:tcPr>
          <w:p w:rsidR="006A3417" w:rsidRPr="006A3417" w:rsidRDefault="006A3417" w:rsidP="006A3417">
            <w:pPr>
              <w:ind w:right="237"/>
              <w:jc w:val="center"/>
              <w:rPr>
                <w:rFonts w:ascii="Calibri" w:eastAsia="Calibri" w:hAnsi="Calibri" w:cs="Times New Roman"/>
                <w:color w:val="FFFFFF"/>
                <w:sz w:val="28"/>
                <w:szCs w:val="28"/>
              </w:rPr>
            </w:pPr>
            <w:r w:rsidRPr="006A3417">
              <w:rPr>
                <w:rFonts w:ascii="Calibri" w:eastAsia="Calibri" w:hAnsi="Calibri" w:cs="Times New Roman"/>
                <w:color w:val="FFFFFF"/>
                <w:sz w:val="28"/>
                <w:szCs w:val="28"/>
              </w:rPr>
              <w:t>2011 година</w:t>
            </w:r>
          </w:p>
        </w:tc>
        <w:tc>
          <w:tcPr>
            <w:tcW w:w="1701" w:type="dxa"/>
            <w:tcBorders>
              <w:bottom w:val="single" w:sz="4" w:space="0" w:color="000000" w:themeColor="text1"/>
            </w:tcBorders>
            <w:shd w:val="clear" w:color="auto" w:fill="DA105D"/>
          </w:tcPr>
          <w:p w:rsidR="006A3417" w:rsidRPr="006A3417" w:rsidRDefault="006A3417" w:rsidP="006A3417">
            <w:pPr>
              <w:ind w:right="237"/>
              <w:jc w:val="center"/>
              <w:rPr>
                <w:rFonts w:ascii="Calibri" w:eastAsia="Calibri" w:hAnsi="Calibri" w:cs="Times New Roman"/>
                <w:color w:val="FFFFFF"/>
                <w:sz w:val="28"/>
                <w:szCs w:val="28"/>
              </w:rPr>
            </w:pPr>
            <w:r w:rsidRPr="006A3417">
              <w:rPr>
                <w:rFonts w:ascii="Calibri" w:eastAsia="Calibri" w:hAnsi="Calibri" w:cs="Times New Roman"/>
                <w:color w:val="FFFFFF"/>
                <w:sz w:val="28"/>
                <w:szCs w:val="28"/>
              </w:rPr>
              <w:t>2012 година</w:t>
            </w:r>
          </w:p>
        </w:tc>
        <w:tc>
          <w:tcPr>
            <w:tcW w:w="1417" w:type="dxa"/>
            <w:tcBorders>
              <w:bottom w:val="single" w:sz="4" w:space="0" w:color="000000" w:themeColor="text1"/>
              <w:right w:val="single" w:sz="4" w:space="0" w:color="000000" w:themeColor="text1"/>
            </w:tcBorders>
            <w:shd w:val="clear" w:color="auto" w:fill="DA105D"/>
          </w:tcPr>
          <w:p w:rsidR="006A3417" w:rsidRPr="006A3417" w:rsidRDefault="006A3417" w:rsidP="006A3417">
            <w:pPr>
              <w:ind w:right="237"/>
              <w:jc w:val="center"/>
              <w:rPr>
                <w:rFonts w:ascii="Calibri" w:eastAsia="Calibri" w:hAnsi="Calibri" w:cs="Times New Roman"/>
                <w:color w:val="FFFFFF"/>
                <w:sz w:val="28"/>
                <w:szCs w:val="28"/>
              </w:rPr>
            </w:pPr>
            <w:r w:rsidRPr="006A3417">
              <w:rPr>
                <w:rFonts w:ascii="Calibri" w:eastAsia="Calibri" w:hAnsi="Calibri" w:cs="Times New Roman"/>
                <w:color w:val="FFFFFF"/>
                <w:sz w:val="28"/>
                <w:szCs w:val="28"/>
              </w:rPr>
              <w:t>2013 година</w:t>
            </w:r>
          </w:p>
        </w:tc>
        <w:tc>
          <w:tcPr>
            <w:tcW w:w="1645" w:type="dxa"/>
            <w:tcBorders>
              <w:left w:val="single" w:sz="4" w:space="0" w:color="000000" w:themeColor="text1"/>
              <w:bottom w:val="single" w:sz="4" w:space="0" w:color="000000" w:themeColor="text1"/>
            </w:tcBorders>
            <w:shd w:val="clear" w:color="auto" w:fill="DA105D"/>
          </w:tcPr>
          <w:p w:rsidR="006A3417" w:rsidRPr="006A3417" w:rsidRDefault="006A3417" w:rsidP="006A3417">
            <w:pPr>
              <w:ind w:right="237"/>
              <w:jc w:val="center"/>
              <w:rPr>
                <w:rFonts w:ascii="Calibri" w:eastAsia="Calibri" w:hAnsi="Calibri" w:cs="Times New Roman"/>
                <w:color w:val="FFFFFF"/>
                <w:sz w:val="28"/>
                <w:szCs w:val="28"/>
              </w:rPr>
            </w:pPr>
            <w:r>
              <w:rPr>
                <w:rFonts w:ascii="Calibri" w:eastAsia="Calibri" w:hAnsi="Calibri" w:cs="Times New Roman"/>
                <w:color w:val="FFFFFF"/>
                <w:sz w:val="28"/>
                <w:szCs w:val="28"/>
              </w:rPr>
              <w:t>2014 година</w:t>
            </w:r>
          </w:p>
        </w:tc>
      </w:tr>
      <w:tr w:rsidR="006A3417" w:rsidRPr="006A3417" w:rsidTr="007913A2">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A3417" w:rsidRPr="006A3417" w:rsidRDefault="006A3417" w:rsidP="006A3417">
            <w:pPr>
              <w:ind w:right="237"/>
              <w:rPr>
                <w:rFonts w:ascii="Calibri" w:eastAsia="Calibri" w:hAnsi="Calibri" w:cs="Times New Roman"/>
                <w:sz w:val="28"/>
                <w:szCs w:val="28"/>
              </w:rPr>
            </w:pPr>
            <w:r w:rsidRPr="006A3417">
              <w:rPr>
                <w:rFonts w:ascii="Calibri" w:eastAsia="Calibri" w:hAnsi="Calibri" w:cs="Times New Roman"/>
                <w:sz w:val="28"/>
                <w:szCs w:val="28"/>
              </w:rPr>
              <w:t>Пакети</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A3417" w:rsidRPr="006A3417" w:rsidRDefault="006A3417" w:rsidP="007913A2">
            <w:pPr>
              <w:ind w:right="237"/>
              <w:jc w:val="center"/>
              <w:rPr>
                <w:rFonts w:ascii="Calibri" w:eastAsia="Calibri" w:hAnsi="Calibri" w:cs="Times New Roman"/>
                <w:sz w:val="28"/>
                <w:szCs w:val="28"/>
              </w:rPr>
            </w:pPr>
            <w:r w:rsidRPr="006A3417">
              <w:rPr>
                <w:rFonts w:ascii="Calibri" w:eastAsia="Calibri" w:hAnsi="Calibri" w:cs="Times New Roman"/>
                <w:sz w:val="28"/>
                <w:szCs w:val="28"/>
              </w:rPr>
              <w:t>201.525</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A3417" w:rsidRPr="006A3417" w:rsidRDefault="006A3417" w:rsidP="007913A2">
            <w:pPr>
              <w:ind w:right="237"/>
              <w:jc w:val="center"/>
              <w:rPr>
                <w:rFonts w:ascii="Calibri" w:eastAsia="Calibri" w:hAnsi="Calibri" w:cs="Times New Roman"/>
                <w:sz w:val="28"/>
                <w:szCs w:val="28"/>
              </w:rPr>
            </w:pPr>
            <w:r w:rsidRPr="006A3417">
              <w:rPr>
                <w:rFonts w:ascii="Calibri" w:eastAsia="Calibri" w:hAnsi="Calibri" w:cs="Times New Roman"/>
                <w:sz w:val="28"/>
                <w:szCs w:val="28"/>
              </w:rPr>
              <w:t>168.705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A3417" w:rsidRPr="006A3417" w:rsidRDefault="006A3417" w:rsidP="007913A2">
            <w:pPr>
              <w:ind w:right="237"/>
              <w:jc w:val="center"/>
              <w:rPr>
                <w:rFonts w:ascii="Calibri" w:eastAsia="Calibri" w:hAnsi="Calibri" w:cs="Times New Roman"/>
                <w:sz w:val="28"/>
                <w:szCs w:val="28"/>
              </w:rPr>
            </w:pPr>
            <w:r w:rsidRPr="006A3417">
              <w:rPr>
                <w:rFonts w:ascii="Calibri" w:eastAsia="Calibri" w:hAnsi="Calibri" w:cs="Times New Roman"/>
                <w:sz w:val="28"/>
                <w:szCs w:val="28"/>
              </w:rPr>
              <w:t>159.522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A3417" w:rsidRPr="006A3417" w:rsidRDefault="006A3417" w:rsidP="007913A2">
            <w:pPr>
              <w:ind w:right="237"/>
              <w:jc w:val="center"/>
              <w:rPr>
                <w:rFonts w:ascii="Calibri" w:eastAsia="Calibri" w:hAnsi="Calibri" w:cs="Times New Roman"/>
                <w:sz w:val="28"/>
                <w:szCs w:val="28"/>
              </w:rPr>
            </w:pPr>
            <w:r w:rsidRPr="006A3417">
              <w:rPr>
                <w:rFonts w:ascii="Calibri" w:eastAsia="Calibri" w:hAnsi="Calibri" w:cs="Times New Roman"/>
                <w:sz w:val="28"/>
                <w:szCs w:val="28"/>
              </w:rPr>
              <w:t>134.234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A3417" w:rsidRPr="006A3417" w:rsidRDefault="007913A2" w:rsidP="007913A2">
            <w:pPr>
              <w:ind w:right="237"/>
              <w:jc w:val="center"/>
              <w:rPr>
                <w:rFonts w:ascii="Calibri" w:eastAsia="Calibri" w:hAnsi="Calibri" w:cs="Times New Roman"/>
                <w:sz w:val="28"/>
                <w:szCs w:val="28"/>
              </w:rPr>
            </w:pPr>
            <w:r>
              <w:rPr>
                <w:sz w:val="28"/>
                <w:szCs w:val="28"/>
              </w:rPr>
              <w:t>116.012</w:t>
            </w:r>
          </w:p>
        </w:tc>
      </w:tr>
    </w:tbl>
    <w:p w:rsidR="006A3417" w:rsidRPr="006A3417" w:rsidRDefault="006A3417" w:rsidP="006A3417">
      <w:pPr>
        <w:ind w:right="237"/>
        <w:jc w:val="both"/>
        <w:rPr>
          <w:b/>
          <w:i/>
          <w:sz w:val="24"/>
          <w:szCs w:val="24"/>
        </w:rPr>
      </w:pPr>
    </w:p>
    <w:p w:rsidR="007913A2" w:rsidRPr="007913A2" w:rsidRDefault="007913A2" w:rsidP="004C1D55">
      <w:pPr>
        <w:ind w:right="237" w:firstLine="851"/>
        <w:jc w:val="both"/>
        <w:rPr>
          <w:sz w:val="24"/>
          <w:szCs w:val="24"/>
        </w:rPr>
      </w:pPr>
      <w:r w:rsidRPr="007913A2">
        <w:rPr>
          <w:sz w:val="24"/>
          <w:szCs w:val="24"/>
        </w:rPr>
        <w:t>Анализата на обемот на па</w:t>
      </w:r>
      <w:r>
        <w:rPr>
          <w:sz w:val="24"/>
          <w:szCs w:val="24"/>
        </w:rPr>
        <w:t>кети во Македонска пошта за 2014</w:t>
      </w:r>
      <w:r w:rsidRPr="007913A2">
        <w:rPr>
          <w:sz w:val="24"/>
          <w:szCs w:val="24"/>
        </w:rPr>
        <w:t xml:space="preserve"> година укажува</w:t>
      </w:r>
      <w:r>
        <w:rPr>
          <w:sz w:val="24"/>
          <w:szCs w:val="24"/>
        </w:rPr>
        <w:t xml:space="preserve"> на намалување на обемот дури 14% во однос на 2013</w:t>
      </w:r>
      <w:r w:rsidRPr="007913A2">
        <w:rPr>
          <w:sz w:val="24"/>
          <w:szCs w:val="24"/>
        </w:rPr>
        <w:t xml:space="preserve"> година. Овој тренд на намалување на обемот на пакети кај Македонска пошта е забележан последователно во неколку години наназад, па процентот на намалување во</w:t>
      </w:r>
      <w:r>
        <w:rPr>
          <w:sz w:val="24"/>
          <w:szCs w:val="24"/>
        </w:rPr>
        <w:t xml:space="preserve"> однос на 2010 година изнесува </w:t>
      </w:r>
      <w:r w:rsidR="00F3573C">
        <w:rPr>
          <w:sz w:val="24"/>
          <w:szCs w:val="24"/>
        </w:rPr>
        <w:t>забележителн</w:t>
      </w:r>
      <w:r>
        <w:rPr>
          <w:sz w:val="24"/>
          <w:szCs w:val="24"/>
        </w:rPr>
        <w:t>и 4</w:t>
      </w:r>
      <w:r w:rsidRPr="007913A2">
        <w:rPr>
          <w:sz w:val="24"/>
          <w:szCs w:val="24"/>
        </w:rPr>
        <w:t xml:space="preserve">3%. </w:t>
      </w:r>
    </w:p>
    <w:p w:rsidR="006A3417" w:rsidRPr="006A3417" w:rsidRDefault="006A3417" w:rsidP="006A3417">
      <w:pPr>
        <w:tabs>
          <w:tab w:val="left" w:pos="1134"/>
        </w:tabs>
        <w:ind w:right="95"/>
        <w:contextualSpacing/>
        <w:rPr>
          <w:b/>
          <w:i/>
          <w:sz w:val="32"/>
          <w:szCs w:val="32"/>
          <w:u w:val="single"/>
        </w:rPr>
      </w:pPr>
    </w:p>
    <w:p w:rsidR="009653C3" w:rsidRPr="009653C3" w:rsidRDefault="009653C3" w:rsidP="004C1D55">
      <w:pPr>
        <w:spacing w:after="0"/>
        <w:ind w:right="237"/>
        <w:jc w:val="center"/>
        <w:rPr>
          <w:i/>
          <w:sz w:val="24"/>
          <w:szCs w:val="24"/>
        </w:rPr>
      </w:pPr>
      <w:r w:rsidRPr="009653C3">
        <w:rPr>
          <w:i/>
          <w:sz w:val="24"/>
          <w:szCs w:val="24"/>
        </w:rPr>
        <w:t xml:space="preserve">Слика 15: Анализа на пакети  – Македонска пошта </w:t>
      </w:r>
      <w:r>
        <w:rPr>
          <w:i/>
          <w:sz w:val="24"/>
          <w:szCs w:val="24"/>
        </w:rPr>
        <w:t>2010-2014</w:t>
      </w:r>
      <w:r w:rsidRPr="009653C3">
        <w:rPr>
          <w:i/>
          <w:sz w:val="24"/>
          <w:szCs w:val="24"/>
        </w:rPr>
        <w:t xml:space="preserve"> год.</w:t>
      </w:r>
    </w:p>
    <w:p w:rsidR="00B97486" w:rsidRPr="00B97486" w:rsidRDefault="00B97486" w:rsidP="00B97486">
      <w:pPr>
        <w:rPr>
          <w:sz w:val="32"/>
          <w:szCs w:val="32"/>
        </w:rPr>
      </w:pPr>
    </w:p>
    <w:p w:rsidR="00B97486" w:rsidRDefault="009653C3" w:rsidP="00B97486">
      <w:pPr>
        <w:rPr>
          <w:sz w:val="32"/>
          <w:szCs w:val="32"/>
        </w:rPr>
      </w:pPr>
      <w:r>
        <w:rPr>
          <w:noProof/>
          <w:lang w:eastAsia="mk-MK"/>
        </w:rPr>
        <w:drawing>
          <wp:inline distT="0" distB="0" distL="0" distR="0" wp14:anchorId="7E6BE4E4" wp14:editId="0C38FDE9">
            <wp:extent cx="5867400" cy="33337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1D55" w:rsidRDefault="004C1D55" w:rsidP="00B97486">
      <w:pPr>
        <w:rPr>
          <w:sz w:val="32"/>
          <w:szCs w:val="32"/>
        </w:rPr>
      </w:pPr>
    </w:p>
    <w:p w:rsidR="00771A0A" w:rsidRDefault="00771A0A" w:rsidP="00B97486">
      <w:pPr>
        <w:rPr>
          <w:sz w:val="32"/>
          <w:szCs w:val="32"/>
        </w:rPr>
      </w:pPr>
    </w:p>
    <w:p w:rsidR="009653C3" w:rsidRPr="004C1D55" w:rsidRDefault="004C1D55" w:rsidP="009653C3">
      <w:pPr>
        <w:ind w:right="237"/>
        <w:contextualSpacing/>
        <w:jc w:val="both"/>
        <w:rPr>
          <w:b/>
          <w:i/>
          <w:sz w:val="24"/>
          <w:szCs w:val="24"/>
          <w:u w:val="single"/>
        </w:rPr>
      </w:pPr>
      <w:r w:rsidRPr="004C1D55">
        <w:rPr>
          <w:b/>
          <w:i/>
          <w:sz w:val="24"/>
          <w:szCs w:val="24"/>
          <w:u w:val="single"/>
        </w:rPr>
        <w:t xml:space="preserve">5.2 </w:t>
      </w:r>
      <w:r w:rsidR="008E3C44">
        <w:rPr>
          <w:b/>
          <w:i/>
          <w:sz w:val="24"/>
          <w:szCs w:val="24"/>
          <w:u w:val="single"/>
        </w:rPr>
        <w:t xml:space="preserve"> </w:t>
      </w:r>
      <w:r w:rsidR="009653C3" w:rsidRPr="004C1D55">
        <w:rPr>
          <w:b/>
          <w:i/>
          <w:sz w:val="24"/>
          <w:szCs w:val="24"/>
          <w:u w:val="single"/>
        </w:rPr>
        <w:t>Анализа на обемот на поштенските пратки кај давателите на поштенски услуги на слободниот поштенски пазар</w:t>
      </w:r>
    </w:p>
    <w:p w:rsidR="009653C3" w:rsidRDefault="009653C3" w:rsidP="009653C3">
      <w:pPr>
        <w:spacing w:after="0"/>
        <w:ind w:right="237"/>
        <w:contextualSpacing/>
        <w:jc w:val="both"/>
        <w:rPr>
          <w:sz w:val="32"/>
          <w:szCs w:val="32"/>
        </w:rPr>
      </w:pPr>
    </w:p>
    <w:p w:rsidR="004C1D55" w:rsidRPr="004C1D55" w:rsidRDefault="004C1D55" w:rsidP="004C1D55">
      <w:pPr>
        <w:ind w:right="237" w:firstLine="851"/>
        <w:contextualSpacing/>
        <w:jc w:val="both"/>
        <w:rPr>
          <w:sz w:val="24"/>
          <w:szCs w:val="24"/>
        </w:rPr>
      </w:pPr>
      <w:r w:rsidRPr="004C1D55">
        <w:rPr>
          <w:sz w:val="24"/>
          <w:szCs w:val="24"/>
        </w:rPr>
        <w:t xml:space="preserve">Со формирањето на Агенцијата за пошти и со отпочнување со регулацијата на пазарот на поштенските услуги, конкуренцијата во обезбедувањето на поштенските услуги во Република Македонија  се повеќе се развива, што е поврзано со развојот и унапредувањето на транспарентните услови за обезбедување на поштенските услуги. </w:t>
      </w:r>
      <w:r w:rsidR="008E3C44">
        <w:rPr>
          <w:sz w:val="24"/>
          <w:szCs w:val="24"/>
        </w:rPr>
        <w:t>Бројот на даватели на поштенски услуги на слободен пазар се зголемува од година во година. Конкуренцијата е голема, пазарот е исто така голем и разноврсен, но место има само за најуспешните. Од година во година се појавуваат се повеќе нови даватели на поштенски услуги, некој од нив успеваат да се сврстат помеѓу најдобрите, некои пак недоволно храбри откако ќе сфатат дека ова не е така едноставен пазар, се откажуваат. Еве ги параметрите кои ги оствариле 23те вкупно даватели во 2014 година.</w:t>
      </w:r>
    </w:p>
    <w:p w:rsidR="004C1D55" w:rsidRDefault="004C1D55" w:rsidP="009653C3">
      <w:pPr>
        <w:spacing w:after="0"/>
        <w:ind w:right="237"/>
        <w:contextualSpacing/>
        <w:jc w:val="both"/>
        <w:rPr>
          <w:i/>
          <w:sz w:val="24"/>
          <w:szCs w:val="24"/>
        </w:rPr>
      </w:pPr>
    </w:p>
    <w:p w:rsidR="008E3C44" w:rsidRPr="009653C3" w:rsidRDefault="009653C3" w:rsidP="008E3C44">
      <w:pPr>
        <w:spacing w:after="0" w:line="240" w:lineRule="auto"/>
        <w:ind w:right="237"/>
        <w:contextualSpacing/>
        <w:jc w:val="center"/>
        <w:rPr>
          <w:rFonts w:ascii="Calibri" w:eastAsia="Times New Roman" w:hAnsi="Calibri" w:cs="Times New Roman"/>
          <w:i/>
          <w:sz w:val="24"/>
          <w:szCs w:val="24"/>
          <w:lang w:eastAsia="mk-MK"/>
        </w:rPr>
      </w:pPr>
      <w:r w:rsidRPr="009653C3">
        <w:rPr>
          <w:i/>
          <w:sz w:val="24"/>
          <w:szCs w:val="24"/>
        </w:rPr>
        <w:t>Слика 16:</w:t>
      </w:r>
      <w:r w:rsidRPr="009653C3">
        <w:rPr>
          <w:rFonts w:ascii="Calibri" w:eastAsia="Times New Roman" w:hAnsi="Calibri" w:cs="Times New Roman"/>
          <w:i/>
          <w:sz w:val="24"/>
          <w:szCs w:val="24"/>
          <w:lang w:eastAsia="mk-MK"/>
        </w:rPr>
        <w:t xml:space="preserve"> Вкупен поштенски сообраќај кај давателите на поштенски услуги на слободниот поштенски пазар</w:t>
      </w:r>
      <w:r w:rsidR="008E3C44">
        <w:rPr>
          <w:rFonts w:ascii="Calibri" w:eastAsia="Times New Roman" w:hAnsi="Calibri" w:cs="Times New Roman"/>
          <w:i/>
          <w:sz w:val="24"/>
          <w:szCs w:val="24"/>
          <w:lang w:eastAsia="mk-MK"/>
        </w:rPr>
        <w:t xml:space="preserve"> во 2014 година</w:t>
      </w:r>
    </w:p>
    <w:tbl>
      <w:tblPr>
        <w:tblpPr w:leftFromText="180" w:rightFromText="180" w:vertAnchor="text" w:horzAnchor="margin" w:tblpY="1001"/>
        <w:tblW w:w="9180" w:type="dxa"/>
        <w:tblBorders>
          <w:top w:val="single" w:sz="4" w:space="0" w:color="FFFFFF" w:themeColor="background1"/>
          <w:left w:val="single" w:sz="4" w:space="0" w:color="000000" w:themeColor="text1"/>
          <w:bottom w:val="single" w:sz="4" w:space="0" w:color="8064A2" w:themeColor="accent4"/>
          <w:right w:val="single" w:sz="4" w:space="0" w:color="000000" w:themeColor="text1"/>
          <w:insideH w:val="single" w:sz="4" w:space="0" w:color="8064A2" w:themeColor="accent4"/>
          <w:insideV w:val="single" w:sz="4" w:space="0" w:color="000000" w:themeColor="text1"/>
        </w:tblBorders>
        <w:tblLook w:val="0000" w:firstRow="0" w:lastRow="0" w:firstColumn="0" w:lastColumn="0" w:noHBand="0" w:noVBand="0"/>
      </w:tblPr>
      <w:tblGrid>
        <w:gridCol w:w="5495"/>
        <w:gridCol w:w="3685"/>
      </w:tblGrid>
      <w:tr w:rsidR="009653C3" w:rsidRPr="009653C3" w:rsidTr="009653C3">
        <w:trPr>
          <w:trHeight w:val="580"/>
        </w:trPr>
        <w:tc>
          <w:tcPr>
            <w:tcW w:w="5495" w:type="dxa"/>
            <w:tcBorders>
              <w:top w:val="single" w:sz="4" w:space="0" w:color="FFFFFF" w:themeColor="background1"/>
            </w:tcBorders>
            <w:shd w:val="clear" w:color="auto" w:fill="DA105D"/>
          </w:tcPr>
          <w:p w:rsidR="009653C3" w:rsidRPr="009653C3" w:rsidRDefault="009653C3" w:rsidP="008E3C44">
            <w:pPr>
              <w:spacing w:line="240" w:lineRule="auto"/>
              <w:rPr>
                <w:b/>
                <w:color w:val="FFFFFF" w:themeColor="background1"/>
                <w:sz w:val="32"/>
                <w:szCs w:val="32"/>
              </w:rPr>
            </w:pPr>
          </w:p>
          <w:p w:rsidR="009653C3" w:rsidRPr="009653C3" w:rsidRDefault="009653C3" w:rsidP="008E3C44">
            <w:pPr>
              <w:spacing w:line="240" w:lineRule="auto"/>
              <w:rPr>
                <w:b/>
                <w:color w:val="FFFFFF" w:themeColor="background1"/>
                <w:sz w:val="32"/>
                <w:szCs w:val="32"/>
              </w:rPr>
            </w:pPr>
          </w:p>
        </w:tc>
        <w:tc>
          <w:tcPr>
            <w:tcW w:w="3685" w:type="dxa"/>
            <w:tcBorders>
              <w:top w:val="single" w:sz="4" w:space="0" w:color="FFFFFF" w:themeColor="background1"/>
            </w:tcBorders>
            <w:shd w:val="clear" w:color="auto" w:fill="DA105D"/>
          </w:tcPr>
          <w:p w:rsidR="009653C3" w:rsidRPr="009653C3" w:rsidRDefault="009653C3" w:rsidP="008E3C44">
            <w:pPr>
              <w:spacing w:line="240" w:lineRule="auto"/>
              <w:rPr>
                <w:b/>
                <w:color w:val="FFFFFF" w:themeColor="background1"/>
                <w:sz w:val="32"/>
                <w:szCs w:val="32"/>
              </w:rPr>
            </w:pPr>
          </w:p>
          <w:p w:rsidR="009653C3" w:rsidRPr="009653C3" w:rsidRDefault="009653C3" w:rsidP="008E3C44">
            <w:pPr>
              <w:spacing w:line="240" w:lineRule="auto"/>
              <w:jc w:val="center"/>
              <w:rPr>
                <w:b/>
                <w:color w:val="FFFFFF" w:themeColor="background1"/>
                <w:sz w:val="32"/>
                <w:szCs w:val="32"/>
              </w:rPr>
            </w:pPr>
            <w:r>
              <w:rPr>
                <w:b/>
                <w:color w:val="FFFFFF" w:themeColor="background1"/>
                <w:sz w:val="32"/>
                <w:szCs w:val="32"/>
              </w:rPr>
              <w:t>2014</w:t>
            </w:r>
            <w:r w:rsidRPr="009653C3">
              <w:rPr>
                <w:b/>
                <w:color w:val="FFFFFF" w:themeColor="background1"/>
                <w:sz w:val="32"/>
                <w:szCs w:val="32"/>
              </w:rPr>
              <w:t xml:space="preserve"> година</w:t>
            </w:r>
          </w:p>
        </w:tc>
      </w:tr>
      <w:tr w:rsidR="009653C3" w:rsidRPr="009653C3" w:rsidTr="009653C3">
        <w:trPr>
          <w:trHeight w:val="607"/>
        </w:trPr>
        <w:tc>
          <w:tcPr>
            <w:tcW w:w="5495" w:type="dxa"/>
            <w:shd w:val="clear" w:color="auto" w:fill="auto"/>
            <w:vAlign w:val="bottom"/>
          </w:tcPr>
          <w:p w:rsidR="009653C3" w:rsidRPr="009653C3" w:rsidRDefault="009653C3" w:rsidP="008E3C44">
            <w:pPr>
              <w:spacing w:line="240" w:lineRule="auto"/>
              <w:rPr>
                <w:i/>
                <w:sz w:val="24"/>
                <w:szCs w:val="24"/>
              </w:rPr>
            </w:pPr>
            <w:r w:rsidRPr="009653C3">
              <w:rPr>
                <w:i/>
                <w:sz w:val="24"/>
                <w:szCs w:val="24"/>
              </w:rPr>
              <w:t>ВКУПНО ПОШТЕНСКИ И ДРУГИ УСЛУГИ ПОВРЗАНИ СО ПОШТЕНСКИ УСЛУГИ</w:t>
            </w:r>
          </w:p>
        </w:tc>
        <w:tc>
          <w:tcPr>
            <w:tcW w:w="3685" w:type="dxa"/>
            <w:vAlign w:val="bottom"/>
          </w:tcPr>
          <w:p w:rsidR="009653C3" w:rsidRPr="009653C3" w:rsidRDefault="007B00AC" w:rsidP="008E3C44">
            <w:pPr>
              <w:spacing w:line="240" w:lineRule="auto"/>
              <w:jc w:val="center"/>
              <w:rPr>
                <w:sz w:val="24"/>
                <w:szCs w:val="24"/>
              </w:rPr>
            </w:pPr>
            <w:r>
              <w:rPr>
                <w:sz w:val="24"/>
                <w:szCs w:val="24"/>
              </w:rPr>
              <w:t>3,063,236</w:t>
            </w:r>
          </w:p>
        </w:tc>
      </w:tr>
      <w:tr w:rsidR="009653C3" w:rsidRPr="009653C3" w:rsidTr="009653C3">
        <w:trPr>
          <w:trHeight w:val="331"/>
        </w:trPr>
        <w:tc>
          <w:tcPr>
            <w:tcW w:w="5495" w:type="dxa"/>
            <w:shd w:val="clear" w:color="auto" w:fill="auto"/>
          </w:tcPr>
          <w:p w:rsidR="009653C3" w:rsidRPr="009653C3" w:rsidRDefault="009653C3" w:rsidP="008E3C44">
            <w:pPr>
              <w:numPr>
                <w:ilvl w:val="0"/>
                <w:numId w:val="6"/>
              </w:numPr>
              <w:spacing w:line="240" w:lineRule="auto"/>
              <w:rPr>
                <w:sz w:val="24"/>
                <w:szCs w:val="24"/>
              </w:rPr>
            </w:pPr>
            <w:r w:rsidRPr="009653C3">
              <w:rPr>
                <w:sz w:val="24"/>
                <w:szCs w:val="24"/>
                <w:lang w:val="ru-RU"/>
              </w:rPr>
              <w:t xml:space="preserve"> Пратки за коресподенција</w:t>
            </w:r>
          </w:p>
        </w:tc>
        <w:tc>
          <w:tcPr>
            <w:tcW w:w="3685" w:type="dxa"/>
            <w:vAlign w:val="bottom"/>
          </w:tcPr>
          <w:p w:rsidR="009653C3" w:rsidRPr="009653C3" w:rsidRDefault="007A0AD9" w:rsidP="008E3C44">
            <w:pPr>
              <w:spacing w:line="240" w:lineRule="auto"/>
              <w:jc w:val="center"/>
              <w:rPr>
                <w:sz w:val="24"/>
                <w:szCs w:val="24"/>
              </w:rPr>
            </w:pPr>
            <w:r w:rsidRPr="007A0AD9">
              <w:rPr>
                <w:sz w:val="24"/>
                <w:szCs w:val="24"/>
              </w:rPr>
              <w:t>905,518</w:t>
            </w:r>
          </w:p>
        </w:tc>
      </w:tr>
      <w:tr w:rsidR="009653C3" w:rsidRPr="009653C3" w:rsidTr="009653C3">
        <w:trPr>
          <w:trHeight w:val="421"/>
        </w:trPr>
        <w:tc>
          <w:tcPr>
            <w:tcW w:w="5495" w:type="dxa"/>
            <w:shd w:val="clear" w:color="auto" w:fill="auto"/>
          </w:tcPr>
          <w:p w:rsidR="009653C3" w:rsidRPr="009653C3" w:rsidRDefault="007B00AC" w:rsidP="008E3C44">
            <w:pPr>
              <w:spacing w:line="240" w:lineRule="auto"/>
              <w:rPr>
                <w:sz w:val="24"/>
                <w:szCs w:val="24"/>
              </w:rPr>
            </w:pPr>
            <w:r>
              <w:rPr>
                <w:sz w:val="24"/>
                <w:szCs w:val="24"/>
              </w:rPr>
              <w:t>а)  П</w:t>
            </w:r>
            <w:r w:rsidR="009653C3" w:rsidRPr="009653C3">
              <w:rPr>
                <w:sz w:val="24"/>
                <w:szCs w:val="24"/>
              </w:rPr>
              <w:t>исма</w:t>
            </w:r>
          </w:p>
        </w:tc>
        <w:tc>
          <w:tcPr>
            <w:tcW w:w="3685" w:type="dxa"/>
            <w:vAlign w:val="bottom"/>
          </w:tcPr>
          <w:p w:rsidR="009653C3" w:rsidRPr="009653C3" w:rsidRDefault="007A0AD9" w:rsidP="008E3C44">
            <w:pPr>
              <w:spacing w:line="240" w:lineRule="auto"/>
              <w:jc w:val="center"/>
              <w:rPr>
                <w:sz w:val="24"/>
                <w:szCs w:val="24"/>
              </w:rPr>
            </w:pPr>
            <w:r>
              <w:rPr>
                <w:sz w:val="24"/>
                <w:szCs w:val="24"/>
              </w:rPr>
              <w:t>905,518</w:t>
            </w:r>
          </w:p>
        </w:tc>
      </w:tr>
      <w:tr w:rsidR="009653C3" w:rsidRPr="009653C3" w:rsidTr="009653C3">
        <w:trPr>
          <w:trHeight w:val="421"/>
        </w:trPr>
        <w:tc>
          <w:tcPr>
            <w:tcW w:w="5495" w:type="dxa"/>
            <w:shd w:val="clear" w:color="auto" w:fill="auto"/>
          </w:tcPr>
          <w:p w:rsidR="009653C3" w:rsidRPr="009653C3" w:rsidRDefault="009653C3" w:rsidP="008E3C44">
            <w:pPr>
              <w:numPr>
                <w:ilvl w:val="0"/>
                <w:numId w:val="7"/>
              </w:numPr>
              <w:spacing w:line="240" w:lineRule="auto"/>
              <w:rPr>
                <w:sz w:val="24"/>
                <w:szCs w:val="24"/>
              </w:rPr>
            </w:pPr>
            <w:r w:rsidRPr="009653C3">
              <w:rPr>
                <w:sz w:val="24"/>
                <w:szCs w:val="24"/>
              </w:rPr>
              <w:t>експресни услуги</w:t>
            </w:r>
          </w:p>
        </w:tc>
        <w:tc>
          <w:tcPr>
            <w:tcW w:w="3685" w:type="dxa"/>
            <w:vAlign w:val="bottom"/>
          </w:tcPr>
          <w:p w:rsidR="009653C3" w:rsidRPr="009653C3" w:rsidRDefault="007A0AD9" w:rsidP="008E3C44">
            <w:pPr>
              <w:spacing w:line="240" w:lineRule="auto"/>
              <w:jc w:val="center"/>
              <w:rPr>
                <w:sz w:val="24"/>
                <w:szCs w:val="24"/>
              </w:rPr>
            </w:pPr>
            <w:r>
              <w:rPr>
                <w:sz w:val="24"/>
                <w:szCs w:val="24"/>
              </w:rPr>
              <w:t>174,020</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t>курирски услуги</w:t>
            </w:r>
          </w:p>
        </w:tc>
        <w:tc>
          <w:tcPr>
            <w:tcW w:w="3685" w:type="dxa"/>
            <w:vAlign w:val="bottom"/>
          </w:tcPr>
          <w:p w:rsidR="009653C3" w:rsidRPr="009653C3" w:rsidRDefault="00C26D67" w:rsidP="007B00AC">
            <w:pPr>
              <w:jc w:val="center"/>
              <w:rPr>
                <w:sz w:val="24"/>
                <w:szCs w:val="24"/>
              </w:rPr>
            </w:pPr>
            <w:r>
              <w:rPr>
                <w:sz w:val="24"/>
                <w:szCs w:val="24"/>
              </w:rPr>
              <w:t>73,744</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t>препорачани услуги</w:t>
            </w:r>
          </w:p>
        </w:tc>
        <w:tc>
          <w:tcPr>
            <w:tcW w:w="3685" w:type="dxa"/>
            <w:vAlign w:val="bottom"/>
          </w:tcPr>
          <w:p w:rsidR="009653C3" w:rsidRPr="009653C3" w:rsidRDefault="00C26D67" w:rsidP="007B00AC">
            <w:pPr>
              <w:jc w:val="center"/>
              <w:rPr>
                <w:sz w:val="24"/>
                <w:szCs w:val="24"/>
              </w:rPr>
            </w:pPr>
            <w:r>
              <w:rPr>
                <w:sz w:val="24"/>
                <w:szCs w:val="24"/>
              </w:rPr>
              <w:t>609,599</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t>вредносни услуги</w:t>
            </w:r>
          </w:p>
        </w:tc>
        <w:tc>
          <w:tcPr>
            <w:tcW w:w="3685" w:type="dxa"/>
            <w:vAlign w:val="bottom"/>
          </w:tcPr>
          <w:p w:rsidR="009653C3" w:rsidRPr="009653C3" w:rsidRDefault="007A0AD9" w:rsidP="007B00AC">
            <w:pPr>
              <w:jc w:val="center"/>
              <w:rPr>
                <w:sz w:val="24"/>
                <w:szCs w:val="24"/>
              </w:rPr>
            </w:pPr>
            <w:r>
              <w:rPr>
                <w:sz w:val="24"/>
                <w:szCs w:val="24"/>
              </w:rPr>
              <w:t>1,589</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t>други услуги</w:t>
            </w:r>
          </w:p>
        </w:tc>
        <w:tc>
          <w:tcPr>
            <w:tcW w:w="3685" w:type="dxa"/>
            <w:vAlign w:val="bottom"/>
          </w:tcPr>
          <w:p w:rsidR="009653C3" w:rsidRPr="009653C3" w:rsidRDefault="007A0AD9" w:rsidP="007B00AC">
            <w:pPr>
              <w:jc w:val="center"/>
              <w:rPr>
                <w:sz w:val="24"/>
                <w:szCs w:val="24"/>
              </w:rPr>
            </w:pPr>
            <w:r>
              <w:rPr>
                <w:sz w:val="24"/>
                <w:szCs w:val="24"/>
              </w:rPr>
              <w:t>46,566</w:t>
            </w:r>
          </w:p>
        </w:tc>
      </w:tr>
      <w:tr w:rsidR="009653C3" w:rsidRPr="009653C3" w:rsidTr="009653C3">
        <w:trPr>
          <w:trHeight w:val="421"/>
        </w:trPr>
        <w:tc>
          <w:tcPr>
            <w:tcW w:w="5495" w:type="dxa"/>
            <w:shd w:val="clear" w:color="auto" w:fill="auto"/>
          </w:tcPr>
          <w:p w:rsidR="009653C3" w:rsidRPr="007B00AC" w:rsidRDefault="009653C3" w:rsidP="007B00AC">
            <w:pPr>
              <w:pStyle w:val="ListParagraph"/>
              <w:numPr>
                <w:ilvl w:val="0"/>
                <w:numId w:val="6"/>
              </w:numPr>
              <w:rPr>
                <w:sz w:val="24"/>
                <w:szCs w:val="24"/>
              </w:rPr>
            </w:pPr>
            <w:r w:rsidRPr="007B00AC">
              <w:rPr>
                <w:sz w:val="24"/>
                <w:szCs w:val="24"/>
              </w:rPr>
              <w:t>Мали пакети</w:t>
            </w:r>
          </w:p>
        </w:tc>
        <w:tc>
          <w:tcPr>
            <w:tcW w:w="3685" w:type="dxa"/>
            <w:vAlign w:val="bottom"/>
          </w:tcPr>
          <w:p w:rsidR="009653C3" w:rsidRPr="009653C3" w:rsidRDefault="007B00AC" w:rsidP="007B00AC">
            <w:pPr>
              <w:jc w:val="center"/>
              <w:rPr>
                <w:sz w:val="24"/>
                <w:szCs w:val="24"/>
              </w:rPr>
            </w:pPr>
            <w:r>
              <w:rPr>
                <w:sz w:val="24"/>
                <w:szCs w:val="24"/>
              </w:rPr>
              <w:t>4,218</w:t>
            </w:r>
          </w:p>
        </w:tc>
      </w:tr>
      <w:tr w:rsidR="009653C3" w:rsidRPr="009653C3" w:rsidTr="009653C3">
        <w:trPr>
          <w:trHeight w:val="421"/>
        </w:trPr>
        <w:tc>
          <w:tcPr>
            <w:tcW w:w="5495" w:type="dxa"/>
            <w:shd w:val="clear" w:color="auto" w:fill="auto"/>
          </w:tcPr>
          <w:p w:rsidR="009653C3" w:rsidRPr="007B00AC" w:rsidRDefault="009653C3" w:rsidP="007B00AC">
            <w:pPr>
              <w:pStyle w:val="ListParagraph"/>
              <w:numPr>
                <w:ilvl w:val="0"/>
                <w:numId w:val="6"/>
              </w:numPr>
              <w:rPr>
                <w:sz w:val="24"/>
                <w:szCs w:val="24"/>
              </w:rPr>
            </w:pPr>
            <w:r w:rsidRPr="007B00AC">
              <w:rPr>
                <w:sz w:val="24"/>
                <w:szCs w:val="24"/>
              </w:rPr>
              <w:t>Директна пошта</w:t>
            </w:r>
          </w:p>
        </w:tc>
        <w:tc>
          <w:tcPr>
            <w:tcW w:w="3685" w:type="dxa"/>
            <w:vAlign w:val="bottom"/>
          </w:tcPr>
          <w:p w:rsidR="009653C3" w:rsidRPr="009653C3" w:rsidRDefault="007B00AC" w:rsidP="007B00AC">
            <w:pPr>
              <w:jc w:val="center"/>
              <w:rPr>
                <w:sz w:val="24"/>
                <w:szCs w:val="24"/>
              </w:rPr>
            </w:pPr>
            <w:r>
              <w:rPr>
                <w:sz w:val="24"/>
                <w:szCs w:val="24"/>
              </w:rPr>
              <w:t>983,595</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lastRenderedPageBreak/>
              <w:t>адресирани пратки</w:t>
            </w:r>
          </w:p>
        </w:tc>
        <w:tc>
          <w:tcPr>
            <w:tcW w:w="3685" w:type="dxa"/>
            <w:vAlign w:val="bottom"/>
          </w:tcPr>
          <w:p w:rsidR="009653C3" w:rsidRPr="009653C3" w:rsidRDefault="007B00AC" w:rsidP="007B00AC">
            <w:pPr>
              <w:jc w:val="center"/>
              <w:rPr>
                <w:sz w:val="24"/>
                <w:szCs w:val="24"/>
              </w:rPr>
            </w:pPr>
            <w:r>
              <w:rPr>
                <w:sz w:val="24"/>
                <w:szCs w:val="24"/>
              </w:rPr>
              <w:t>72,209</w:t>
            </w:r>
          </w:p>
        </w:tc>
      </w:tr>
      <w:tr w:rsidR="009653C3" w:rsidRPr="009653C3" w:rsidTr="009653C3">
        <w:trPr>
          <w:trHeight w:val="421"/>
        </w:trPr>
        <w:tc>
          <w:tcPr>
            <w:tcW w:w="5495" w:type="dxa"/>
            <w:shd w:val="clear" w:color="auto" w:fill="auto"/>
          </w:tcPr>
          <w:p w:rsidR="009653C3" w:rsidRPr="009653C3" w:rsidRDefault="009653C3" w:rsidP="009653C3">
            <w:pPr>
              <w:numPr>
                <w:ilvl w:val="0"/>
                <w:numId w:val="7"/>
              </w:numPr>
              <w:rPr>
                <w:sz w:val="24"/>
                <w:szCs w:val="24"/>
              </w:rPr>
            </w:pPr>
            <w:r w:rsidRPr="009653C3">
              <w:rPr>
                <w:sz w:val="24"/>
                <w:szCs w:val="24"/>
              </w:rPr>
              <w:t>неадресирани пратки</w:t>
            </w:r>
          </w:p>
        </w:tc>
        <w:tc>
          <w:tcPr>
            <w:tcW w:w="3685" w:type="dxa"/>
            <w:vAlign w:val="bottom"/>
          </w:tcPr>
          <w:p w:rsidR="009653C3" w:rsidRPr="009653C3" w:rsidRDefault="007B00AC" w:rsidP="007B00AC">
            <w:pPr>
              <w:jc w:val="center"/>
              <w:rPr>
                <w:sz w:val="24"/>
                <w:szCs w:val="24"/>
              </w:rPr>
            </w:pPr>
            <w:r>
              <w:rPr>
                <w:sz w:val="24"/>
                <w:szCs w:val="24"/>
              </w:rPr>
              <w:t>911,386</w:t>
            </w:r>
          </w:p>
        </w:tc>
      </w:tr>
      <w:tr w:rsidR="009653C3" w:rsidRPr="009653C3" w:rsidTr="009653C3">
        <w:trPr>
          <w:trHeight w:val="326"/>
        </w:trPr>
        <w:tc>
          <w:tcPr>
            <w:tcW w:w="5495" w:type="dxa"/>
            <w:shd w:val="clear" w:color="auto" w:fill="auto"/>
          </w:tcPr>
          <w:p w:rsidR="009653C3" w:rsidRPr="007B00AC" w:rsidRDefault="009653C3" w:rsidP="007B00AC">
            <w:pPr>
              <w:pStyle w:val="ListParagraph"/>
              <w:numPr>
                <w:ilvl w:val="0"/>
                <w:numId w:val="6"/>
              </w:numPr>
              <w:rPr>
                <w:sz w:val="24"/>
                <w:szCs w:val="24"/>
              </w:rPr>
            </w:pPr>
            <w:r w:rsidRPr="007B00AC">
              <w:rPr>
                <w:sz w:val="24"/>
                <w:szCs w:val="24"/>
                <w:lang w:val="ru-RU"/>
              </w:rPr>
              <w:t>Пакети</w:t>
            </w:r>
          </w:p>
        </w:tc>
        <w:tc>
          <w:tcPr>
            <w:tcW w:w="3685" w:type="dxa"/>
            <w:vAlign w:val="bottom"/>
          </w:tcPr>
          <w:p w:rsidR="009653C3" w:rsidRPr="009653C3" w:rsidRDefault="007B00AC" w:rsidP="007B00AC">
            <w:pPr>
              <w:jc w:val="center"/>
              <w:rPr>
                <w:sz w:val="24"/>
                <w:szCs w:val="24"/>
              </w:rPr>
            </w:pPr>
            <w:r>
              <w:rPr>
                <w:sz w:val="24"/>
                <w:szCs w:val="24"/>
              </w:rPr>
              <w:t>966,183</w:t>
            </w:r>
          </w:p>
        </w:tc>
      </w:tr>
      <w:tr w:rsidR="009653C3" w:rsidRPr="009653C3" w:rsidTr="009653C3">
        <w:trPr>
          <w:trHeight w:val="418"/>
        </w:trPr>
        <w:tc>
          <w:tcPr>
            <w:tcW w:w="5495" w:type="dxa"/>
            <w:shd w:val="clear" w:color="auto" w:fill="auto"/>
          </w:tcPr>
          <w:p w:rsidR="009653C3" w:rsidRPr="007B00AC" w:rsidRDefault="009653C3" w:rsidP="007B00AC">
            <w:pPr>
              <w:pStyle w:val="ListParagraph"/>
              <w:numPr>
                <w:ilvl w:val="0"/>
                <w:numId w:val="6"/>
              </w:numPr>
              <w:rPr>
                <w:sz w:val="24"/>
                <w:szCs w:val="24"/>
              </w:rPr>
            </w:pPr>
            <w:r w:rsidRPr="007B00AC">
              <w:rPr>
                <w:sz w:val="24"/>
                <w:szCs w:val="24"/>
              </w:rPr>
              <w:t>Печатени работи</w:t>
            </w:r>
          </w:p>
        </w:tc>
        <w:tc>
          <w:tcPr>
            <w:tcW w:w="3685" w:type="dxa"/>
            <w:vAlign w:val="bottom"/>
          </w:tcPr>
          <w:p w:rsidR="009653C3" w:rsidRPr="009653C3" w:rsidRDefault="007B00AC" w:rsidP="007B00AC">
            <w:pPr>
              <w:jc w:val="center"/>
              <w:rPr>
                <w:sz w:val="24"/>
                <w:szCs w:val="24"/>
              </w:rPr>
            </w:pPr>
            <w:r>
              <w:rPr>
                <w:sz w:val="24"/>
                <w:szCs w:val="24"/>
              </w:rPr>
              <w:t>35,620</w:t>
            </w:r>
          </w:p>
        </w:tc>
      </w:tr>
      <w:tr w:rsidR="009653C3" w:rsidRPr="009653C3" w:rsidTr="009653C3">
        <w:trPr>
          <w:trHeight w:val="418"/>
        </w:trPr>
        <w:tc>
          <w:tcPr>
            <w:tcW w:w="5495" w:type="dxa"/>
            <w:shd w:val="clear" w:color="auto" w:fill="auto"/>
          </w:tcPr>
          <w:p w:rsidR="009653C3" w:rsidRPr="007B00AC" w:rsidRDefault="009653C3" w:rsidP="007B00AC">
            <w:pPr>
              <w:pStyle w:val="ListParagraph"/>
              <w:numPr>
                <w:ilvl w:val="0"/>
                <w:numId w:val="6"/>
              </w:numPr>
              <w:rPr>
                <w:sz w:val="24"/>
                <w:szCs w:val="24"/>
              </w:rPr>
            </w:pPr>
            <w:r w:rsidRPr="007B00AC">
              <w:rPr>
                <w:sz w:val="24"/>
                <w:szCs w:val="24"/>
              </w:rPr>
              <w:t>Други поштенски пратки</w:t>
            </w:r>
          </w:p>
        </w:tc>
        <w:tc>
          <w:tcPr>
            <w:tcW w:w="3685" w:type="dxa"/>
            <w:vAlign w:val="bottom"/>
          </w:tcPr>
          <w:p w:rsidR="009653C3" w:rsidRPr="009653C3" w:rsidRDefault="007B00AC" w:rsidP="007B00AC">
            <w:pPr>
              <w:jc w:val="center"/>
              <w:rPr>
                <w:sz w:val="24"/>
                <w:szCs w:val="24"/>
              </w:rPr>
            </w:pPr>
            <w:r>
              <w:rPr>
                <w:sz w:val="24"/>
                <w:szCs w:val="24"/>
              </w:rPr>
              <w:t>164,486</w:t>
            </w:r>
          </w:p>
        </w:tc>
      </w:tr>
    </w:tbl>
    <w:p w:rsidR="009653C3" w:rsidRPr="00B97486" w:rsidRDefault="009653C3" w:rsidP="00B97486">
      <w:pPr>
        <w:rPr>
          <w:sz w:val="32"/>
          <w:szCs w:val="32"/>
        </w:rPr>
      </w:pPr>
    </w:p>
    <w:p w:rsidR="00B97486" w:rsidRPr="00B97486" w:rsidRDefault="00B97486" w:rsidP="00B97486">
      <w:pPr>
        <w:rPr>
          <w:sz w:val="32"/>
          <w:szCs w:val="32"/>
        </w:rPr>
      </w:pPr>
    </w:p>
    <w:p w:rsidR="00B97486" w:rsidRDefault="00B97486" w:rsidP="00B97486">
      <w:pPr>
        <w:rPr>
          <w:sz w:val="32"/>
          <w:szCs w:val="32"/>
        </w:rPr>
      </w:pPr>
    </w:p>
    <w:p w:rsidR="00061023" w:rsidRPr="00061023" w:rsidRDefault="008E3C44" w:rsidP="008E3C44">
      <w:pPr>
        <w:tabs>
          <w:tab w:val="left" w:pos="3764"/>
        </w:tabs>
        <w:rPr>
          <w:sz w:val="32"/>
          <w:szCs w:val="32"/>
        </w:rPr>
      </w:pPr>
      <w:r>
        <w:rPr>
          <w:sz w:val="32"/>
          <w:szCs w:val="32"/>
        </w:rPr>
        <w:tab/>
      </w:r>
      <w:r w:rsidR="00B97486">
        <w:rPr>
          <w:sz w:val="32"/>
          <w:szCs w:val="32"/>
        </w:rPr>
        <w:t xml:space="preserve">                                                                                                                                                     </w:t>
      </w:r>
      <w:r>
        <w:rPr>
          <w:sz w:val="32"/>
          <w:szCs w:val="32"/>
        </w:rPr>
        <w:t xml:space="preserve">                               </w:t>
      </w:r>
    </w:p>
    <w:p w:rsidR="00061023" w:rsidRDefault="00061023" w:rsidP="00061023">
      <w:pPr>
        <w:rPr>
          <w:sz w:val="32"/>
          <w:szCs w:val="32"/>
        </w:rPr>
      </w:pPr>
    </w:p>
    <w:p w:rsidR="00496CC2" w:rsidRPr="00496CC2" w:rsidRDefault="00496CC2" w:rsidP="008E3C44">
      <w:pPr>
        <w:spacing w:after="0"/>
        <w:jc w:val="center"/>
        <w:rPr>
          <w:i/>
          <w:szCs w:val="24"/>
        </w:rPr>
      </w:pPr>
      <w:r w:rsidRPr="00496CC2">
        <w:rPr>
          <w:i/>
          <w:szCs w:val="24"/>
        </w:rPr>
        <w:t xml:space="preserve">Слика 17: Обем на поштенски услуги </w:t>
      </w:r>
      <w:r>
        <w:rPr>
          <w:i/>
          <w:szCs w:val="24"/>
        </w:rPr>
        <w:t>(2008/2014</w:t>
      </w:r>
      <w:r w:rsidRPr="00496CC2">
        <w:rPr>
          <w:i/>
          <w:szCs w:val="24"/>
        </w:rPr>
        <w:t>) – даватели на поштенски услуги на слободниот пазар</w:t>
      </w:r>
    </w:p>
    <w:p w:rsidR="00262CA9" w:rsidRDefault="00496CC2" w:rsidP="00061023">
      <w:pPr>
        <w:rPr>
          <w:sz w:val="32"/>
          <w:szCs w:val="32"/>
        </w:rPr>
      </w:pPr>
      <w:r>
        <w:rPr>
          <w:noProof/>
          <w:lang w:eastAsia="mk-MK"/>
        </w:rPr>
        <w:drawing>
          <wp:inline distT="0" distB="0" distL="0" distR="0" wp14:anchorId="79957C69" wp14:editId="76D2D42F">
            <wp:extent cx="6105525" cy="39052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2CA9" w:rsidRPr="00262CA9" w:rsidRDefault="00262CA9" w:rsidP="008E3C44">
      <w:pPr>
        <w:spacing w:after="0"/>
        <w:ind w:right="237"/>
        <w:jc w:val="center"/>
        <w:rPr>
          <w:i/>
          <w:sz w:val="24"/>
          <w:szCs w:val="24"/>
        </w:rPr>
      </w:pPr>
      <w:r w:rsidRPr="00262CA9">
        <w:rPr>
          <w:i/>
          <w:sz w:val="24"/>
          <w:szCs w:val="24"/>
        </w:rPr>
        <w:t>Слика 18: Обем на пратки за коресподенција кај давателите на поштенски услуги на слободниот поштенски пазар</w:t>
      </w:r>
      <w:r>
        <w:rPr>
          <w:i/>
          <w:sz w:val="24"/>
          <w:szCs w:val="24"/>
        </w:rPr>
        <w:t xml:space="preserve"> 2011-2014</w:t>
      </w:r>
      <w:r w:rsidRPr="00262CA9">
        <w:rPr>
          <w:i/>
          <w:sz w:val="24"/>
          <w:szCs w:val="24"/>
        </w:rPr>
        <w:t xml:space="preserve"> год.</w:t>
      </w:r>
    </w:p>
    <w:p w:rsidR="00262CA9" w:rsidRPr="00262CA9" w:rsidRDefault="00262CA9" w:rsidP="00262CA9">
      <w:pPr>
        <w:spacing w:after="0"/>
        <w:ind w:right="237"/>
        <w:jc w:val="both"/>
        <w:rPr>
          <w:sz w:val="24"/>
          <w:szCs w:val="24"/>
        </w:rPr>
      </w:pPr>
    </w:p>
    <w:tbl>
      <w:tblPr>
        <w:tblStyle w:val="TableGrid21"/>
        <w:tblpPr w:leftFromText="180" w:rightFromText="180" w:vertAnchor="text" w:horzAnchor="margin" w:tblpXSpec="center" w:tblpY="45"/>
        <w:tblW w:w="0" w:type="auto"/>
        <w:tblBorders>
          <w:top w:val="single" w:sz="4" w:space="0" w:color="FFFFFF" w:themeColor="background1"/>
          <w:bottom w:val="single" w:sz="4" w:space="0" w:color="8064A2" w:themeColor="accent4"/>
          <w:insideH w:val="single" w:sz="4" w:space="0" w:color="8064A2" w:themeColor="accent4"/>
        </w:tblBorders>
        <w:tblLook w:val="04A0" w:firstRow="1" w:lastRow="0" w:firstColumn="1" w:lastColumn="0" w:noHBand="0" w:noVBand="1"/>
      </w:tblPr>
      <w:tblGrid>
        <w:gridCol w:w="3080"/>
        <w:gridCol w:w="1564"/>
        <w:gridCol w:w="1560"/>
        <w:gridCol w:w="1559"/>
        <w:gridCol w:w="1479"/>
      </w:tblGrid>
      <w:tr w:rsidR="00262CA9" w:rsidRPr="00262CA9" w:rsidTr="00CF4481">
        <w:tc>
          <w:tcPr>
            <w:tcW w:w="3080" w:type="dxa"/>
            <w:tcBorders>
              <w:top w:val="single" w:sz="4" w:space="0" w:color="FFFFFF" w:themeColor="background1"/>
              <w:bottom w:val="single" w:sz="4" w:space="0" w:color="8064A2" w:themeColor="accent4"/>
            </w:tcBorders>
            <w:shd w:val="clear" w:color="auto" w:fill="DA105D"/>
          </w:tcPr>
          <w:p w:rsidR="00262CA9" w:rsidRPr="00262CA9" w:rsidRDefault="00262CA9" w:rsidP="00262CA9">
            <w:pPr>
              <w:ind w:right="237"/>
              <w:rPr>
                <w:rFonts w:eastAsia="Calibri" w:cstheme="minorHAnsi"/>
                <w:b/>
                <w:color w:val="FFFFFF"/>
                <w:sz w:val="24"/>
                <w:szCs w:val="24"/>
              </w:rPr>
            </w:pPr>
          </w:p>
        </w:tc>
        <w:tc>
          <w:tcPr>
            <w:tcW w:w="1564" w:type="dxa"/>
            <w:tcBorders>
              <w:top w:val="single" w:sz="4" w:space="0" w:color="FFFFFF" w:themeColor="background1"/>
              <w:bottom w:val="single" w:sz="4" w:space="0" w:color="8064A2" w:themeColor="accent4"/>
            </w:tcBorders>
            <w:shd w:val="clear" w:color="auto" w:fill="DA105D"/>
            <w:vAlign w:val="center"/>
          </w:tcPr>
          <w:p w:rsidR="00262CA9" w:rsidRPr="00262CA9" w:rsidRDefault="00262CA9" w:rsidP="00CF4481">
            <w:pPr>
              <w:ind w:right="237"/>
              <w:jc w:val="center"/>
              <w:rPr>
                <w:rFonts w:eastAsia="Calibri" w:cstheme="minorHAnsi"/>
                <w:b/>
                <w:color w:val="FFFFFF"/>
                <w:sz w:val="24"/>
                <w:szCs w:val="24"/>
              </w:rPr>
            </w:pPr>
            <w:r w:rsidRPr="00262CA9">
              <w:rPr>
                <w:rFonts w:eastAsia="Calibri" w:cstheme="minorHAnsi"/>
                <w:b/>
                <w:color w:val="FFFFFF"/>
                <w:sz w:val="24"/>
                <w:szCs w:val="24"/>
              </w:rPr>
              <w:t>2011 година</w:t>
            </w:r>
          </w:p>
        </w:tc>
        <w:tc>
          <w:tcPr>
            <w:tcW w:w="1560" w:type="dxa"/>
            <w:tcBorders>
              <w:top w:val="single" w:sz="4" w:space="0" w:color="FFFFFF" w:themeColor="background1"/>
              <w:bottom w:val="single" w:sz="4" w:space="0" w:color="8064A2" w:themeColor="accent4"/>
            </w:tcBorders>
            <w:shd w:val="clear" w:color="auto" w:fill="DA105D"/>
            <w:vAlign w:val="center"/>
          </w:tcPr>
          <w:p w:rsidR="00262CA9" w:rsidRPr="00262CA9" w:rsidRDefault="00262CA9" w:rsidP="00CF4481">
            <w:pPr>
              <w:ind w:right="237"/>
              <w:jc w:val="center"/>
              <w:rPr>
                <w:rFonts w:eastAsia="Calibri" w:cstheme="minorHAnsi"/>
                <w:b/>
                <w:color w:val="FFFFFF"/>
                <w:sz w:val="24"/>
                <w:szCs w:val="24"/>
              </w:rPr>
            </w:pPr>
            <w:r w:rsidRPr="00262CA9">
              <w:rPr>
                <w:rFonts w:eastAsia="Calibri" w:cstheme="minorHAnsi"/>
                <w:b/>
                <w:color w:val="FFFFFF"/>
                <w:sz w:val="24"/>
                <w:szCs w:val="24"/>
              </w:rPr>
              <w:t>2012 година</w:t>
            </w:r>
          </w:p>
        </w:tc>
        <w:tc>
          <w:tcPr>
            <w:tcW w:w="1559" w:type="dxa"/>
            <w:tcBorders>
              <w:top w:val="single" w:sz="4" w:space="0" w:color="FFFFFF" w:themeColor="background1"/>
              <w:bottom w:val="single" w:sz="4" w:space="0" w:color="8064A2" w:themeColor="accent4"/>
            </w:tcBorders>
            <w:shd w:val="clear" w:color="auto" w:fill="DA105D"/>
            <w:vAlign w:val="center"/>
          </w:tcPr>
          <w:p w:rsidR="00262CA9" w:rsidRPr="00262CA9" w:rsidRDefault="00262CA9" w:rsidP="00CF4481">
            <w:pPr>
              <w:ind w:right="237"/>
              <w:jc w:val="center"/>
              <w:rPr>
                <w:rFonts w:eastAsia="Calibri" w:cstheme="minorHAnsi"/>
                <w:b/>
                <w:color w:val="FFFFFF"/>
                <w:sz w:val="24"/>
                <w:szCs w:val="24"/>
              </w:rPr>
            </w:pPr>
            <w:r w:rsidRPr="00262CA9">
              <w:rPr>
                <w:rFonts w:eastAsia="Calibri" w:cstheme="minorHAnsi"/>
                <w:b/>
                <w:color w:val="FFFFFF"/>
                <w:sz w:val="24"/>
                <w:szCs w:val="24"/>
              </w:rPr>
              <w:t>2013 година</w:t>
            </w:r>
          </w:p>
        </w:tc>
        <w:tc>
          <w:tcPr>
            <w:tcW w:w="1479" w:type="dxa"/>
            <w:tcBorders>
              <w:top w:val="single" w:sz="4" w:space="0" w:color="FFFFFF" w:themeColor="background1"/>
              <w:bottom w:val="single" w:sz="4" w:space="0" w:color="8064A2" w:themeColor="accent4"/>
            </w:tcBorders>
            <w:shd w:val="clear" w:color="auto" w:fill="DA105D"/>
            <w:vAlign w:val="center"/>
          </w:tcPr>
          <w:p w:rsidR="00262CA9" w:rsidRPr="00262CA9" w:rsidRDefault="00262CA9" w:rsidP="00CF4481">
            <w:pPr>
              <w:ind w:right="237"/>
              <w:jc w:val="center"/>
              <w:rPr>
                <w:rFonts w:eastAsia="Calibri" w:cstheme="minorHAnsi"/>
                <w:b/>
                <w:color w:val="FFFFFF"/>
                <w:sz w:val="24"/>
                <w:szCs w:val="24"/>
              </w:rPr>
            </w:pPr>
            <w:r>
              <w:rPr>
                <w:rFonts w:eastAsia="Calibri" w:cstheme="minorHAnsi"/>
                <w:b/>
                <w:color w:val="FFFFFF"/>
                <w:sz w:val="24"/>
                <w:szCs w:val="24"/>
              </w:rPr>
              <w:t>2014 година</w:t>
            </w:r>
          </w:p>
        </w:tc>
      </w:tr>
      <w:tr w:rsidR="00262CA9" w:rsidRPr="00262CA9" w:rsidTr="00CF4481">
        <w:trPr>
          <w:trHeight w:val="970"/>
        </w:trPr>
        <w:tc>
          <w:tcPr>
            <w:tcW w:w="3080" w:type="dxa"/>
            <w:tcBorders>
              <w:top w:val="single" w:sz="4" w:space="0" w:color="8064A2" w:themeColor="accent4"/>
              <w:bottom w:val="single" w:sz="4" w:space="0" w:color="auto"/>
            </w:tcBorders>
          </w:tcPr>
          <w:p w:rsidR="00262CA9" w:rsidRPr="00262CA9" w:rsidRDefault="00262CA9" w:rsidP="00262CA9">
            <w:pPr>
              <w:ind w:right="237"/>
              <w:rPr>
                <w:rFonts w:eastAsia="Calibri" w:cstheme="minorHAnsi"/>
                <w:b/>
                <w:sz w:val="28"/>
                <w:szCs w:val="28"/>
              </w:rPr>
            </w:pPr>
            <w:r w:rsidRPr="00262CA9">
              <w:rPr>
                <w:rFonts w:eastAsia="Calibri" w:cstheme="minorHAnsi"/>
                <w:b/>
                <w:sz w:val="28"/>
                <w:szCs w:val="28"/>
              </w:rPr>
              <w:t>Пратки за коресподенција</w:t>
            </w:r>
          </w:p>
        </w:tc>
        <w:tc>
          <w:tcPr>
            <w:tcW w:w="1564" w:type="dxa"/>
            <w:tcBorders>
              <w:top w:val="single" w:sz="4" w:space="0" w:color="8064A2" w:themeColor="accent4"/>
              <w:bottom w:val="single" w:sz="4" w:space="0" w:color="auto"/>
            </w:tcBorders>
            <w:vAlign w:val="center"/>
          </w:tcPr>
          <w:p w:rsidR="00CF4481" w:rsidRDefault="00CF4481" w:rsidP="00CF4481">
            <w:pPr>
              <w:ind w:right="237"/>
              <w:jc w:val="center"/>
              <w:rPr>
                <w:rFonts w:eastAsia="Calibri" w:cstheme="minorHAnsi"/>
                <w:sz w:val="24"/>
                <w:szCs w:val="24"/>
              </w:rPr>
            </w:pPr>
          </w:p>
          <w:p w:rsidR="00262CA9" w:rsidRPr="00262CA9" w:rsidRDefault="00262CA9" w:rsidP="00CF4481">
            <w:pPr>
              <w:ind w:right="237"/>
              <w:jc w:val="center"/>
              <w:rPr>
                <w:rFonts w:eastAsia="Calibri" w:cstheme="minorHAnsi"/>
                <w:sz w:val="24"/>
                <w:szCs w:val="24"/>
                <w:lang w:val="en-US"/>
              </w:rPr>
            </w:pPr>
            <w:r w:rsidRPr="00262CA9">
              <w:rPr>
                <w:rFonts w:eastAsia="Calibri" w:cstheme="minorHAnsi"/>
                <w:sz w:val="24"/>
                <w:szCs w:val="24"/>
                <w:lang w:val="en-US"/>
              </w:rPr>
              <w:t>240,591</w:t>
            </w:r>
          </w:p>
          <w:p w:rsidR="00262CA9" w:rsidRPr="00262CA9" w:rsidRDefault="00262CA9" w:rsidP="00CF4481">
            <w:pPr>
              <w:ind w:right="237"/>
              <w:jc w:val="center"/>
              <w:rPr>
                <w:rFonts w:eastAsia="Calibri" w:cstheme="minorHAnsi"/>
                <w:sz w:val="24"/>
                <w:szCs w:val="24"/>
              </w:rPr>
            </w:pPr>
          </w:p>
        </w:tc>
        <w:tc>
          <w:tcPr>
            <w:tcW w:w="1560" w:type="dxa"/>
            <w:tcBorders>
              <w:top w:val="single" w:sz="4" w:space="0" w:color="8064A2" w:themeColor="accent4"/>
              <w:bottom w:val="single" w:sz="4" w:space="0" w:color="auto"/>
            </w:tcBorders>
            <w:vAlign w:val="center"/>
          </w:tcPr>
          <w:p w:rsidR="00262CA9" w:rsidRPr="00262CA9" w:rsidRDefault="00262CA9" w:rsidP="00CF4481">
            <w:pPr>
              <w:ind w:right="237"/>
              <w:jc w:val="center"/>
              <w:rPr>
                <w:rFonts w:eastAsia="Calibri" w:cstheme="minorHAnsi"/>
                <w:sz w:val="24"/>
                <w:szCs w:val="24"/>
                <w:lang w:val="en-US"/>
              </w:rPr>
            </w:pPr>
            <w:r w:rsidRPr="00262CA9">
              <w:rPr>
                <w:rFonts w:eastAsia="Calibri" w:cstheme="minorHAnsi"/>
                <w:sz w:val="24"/>
                <w:szCs w:val="24"/>
                <w:lang w:val="en-US"/>
              </w:rPr>
              <w:t>447,204</w:t>
            </w:r>
          </w:p>
        </w:tc>
        <w:tc>
          <w:tcPr>
            <w:tcW w:w="1559" w:type="dxa"/>
            <w:tcBorders>
              <w:top w:val="single" w:sz="4" w:space="0" w:color="8064A2" w:themeColor="accent4"/>
              <w:bottom w:val="single" w:sz="4" w:space="0" w:color="auto"/>
            </w:tcBorders>
            <w:vAlign w:val="center"/>
          </w:tcPr>
          <w:p w:rsidR="00262CA9" w:rsidRPr="00262CA9" w:rsidRDefault="00262CA9" w:rsidP="00CF4481">
            <w:pPr>
              <w:ind w:right="237"/>
              <w:jc w:val="center"/>
              <w:rPr>
                <w:rFonts w:eastAsia="Calibri" w:cstheme="minorHAnsi"/>
                <w:sz w:val="24"/>
                <w:szCs w:val="24"/>
              </w:rPr>
            </w:pPr>
            <w:r w:rsidRPr="00262CA9">
              <w:rPr>
                <w:rFonts w:eastAsia="Calibri" w:cstheme="minorHAnsi"/>
                <w:sz w:val="24"/>
                <w:szCs w:val="24"/>
              </w:rPr>
              <w:t>683,511</w:t>
            </w:r>
          </w:p>
        </w:tc>
        <w:tc>
          <w:tcPr>
            <w:tcW w:w="1479" w:type="dxa"/>
            <w:tcBorders>
              <w:top w:val="single" w:sz="4" w:space="0" w:color="8064A2" w:themeColor="accent4"/>
              <w:bottom w:val="single" w:sz="4" w:space="0" w:color="auto"/>
            </w:tcBorders>
            <w:vAlign w:val="center"/>
          </w:tcPr>
          <w:p w:rsidR="00262CA9" w:rsidRPr="00262CA9" w:rsidRDefault="00262CA9" w:rsidP="00CF4481">
            <w:pPr>
              <w:ind w:right="237"/>
              <w:jc w:val="center"/>
              <w:rPr>
                <w:rFonts w:eastAsia="Calibri" w:cstheme="minorHAnsi"/>
                <w:sz w:val="24"/>
                <w:szCs w:val="24"/>
              </w:rPr>
            </w:pPr>
            <w:r>
              <w:rPr>
                <w:rFonts w:eastAsia="Calibri" w:cstheme="minorHAnsi"/>
                <w:sz w:val="24"/>
                <w:szCs w:val="24"/>
              </w:rPr>
              <w:t>905,518</w:t>
            </w:r>
          </w:p>
        </w:tc>
      </w:tr>
    </w:tbl>
    <w:p w:rsidR="00262CA9" w:rsidRPr="00262CA9" w:rsidRDefault="00262CA9" w:rsidP="00262CA9">
      <w:pPr>
        <w:spacing w:after="0"/>
        <w:ind w:right="237"/>
        <w:jc w:val="both"/>
        <w:rPr>
          <w:sz w:val="24"/>
          <w:szCs w:val="24"/>
        </w:rPr>
      </w:pPr>
    </w:p>
    <w:p w:rsidR="007E642E" w:rsidRDefault="00262CA9" w:rsidP="008E3C44">
      <w:pPr>
        <w:ind w:right="237" w:firstLine="851"/>
        <w:jc w:val="both"/>
        <w:rPr>
          <w:i/>
          <w:sz w:val="24"/>
          <w:szCs w:val="24"/>
          <w:u w:val="single"/>
        </w:rPr>
      </w:pPr>
      <w:r w:rsidRPr="00262CA9">
        <w:rPr>
          <w:sz w:val="24"/>
          <w:szCs w:val="24"/>
        </w:rPr>
        <w:t xml:space="preserve">Од сликата јасно се гледа движењето на обемот на пратките за коресподенција кај давателите на слободниот поштенски пазар, </w:t>
      </w:r>
      <w:r w:rsidR="00E7765A">
        <w:rPr>
          <w:sz w:val="24"/>
          <w:szCs w:val="24"/>
        </w:rPr>
        <w:t xml:space="preserve">се </w:t>
      </w:r>
      <w:r>
        <w:rPr>
          <w:sz w:val="24"/>
          <w:szCs w:val="24"/>
        </w:rPr>
        <w:t>бележ</w:t>
      </w:r>
      <w:r w:rsidR="00E7765A">
        <w:rPr>
          <w:sz w:val="24"/>
          <w:szCs w:val="24"/>
        </w:rPr>
        <w:t>и</w:t>
      </w:r>
      <w:r w:rsidRPr="00262CA9">
        <w:rPr>
          <w:sz w:val="24"/>
          <w:szCs w:val="24"/>
        </w:rPr>
        <w:t xml:space="preserve"> пораст од значителни </w:t>
      </w:r>
      <w:r w:rsidR="00E960EA">
        <w:rPr>
          <w:b/>
          <w:sz w:val="24"/>
          <w:szCs w:val="24"/>
          <w:u w:val="single"/>
        </w:rPr>
        <w:t>32</w:t>
      </w:r>
      <w:r w:rsidRPr="00262CA9">
        <w:rPr>
          <w:b/>
          <w:sz w:val="24"/>
          <w:szCs w:val="24"/>
          <w:u w:val="single"/>
        </w:rPr>
        <w:t xml:space="preserve"> % </w:t>
      </w:r>
      <w:r w:rsidR="00E960EA">
        <w:rPr>
          <w:b/>
          <w:sz w:val="24"/>
          <w:szCs w:val="24"/>
          <w:u w:val="single"/>
        </w:rPr>
        <w:t xml:space="preserve">во </w:t>
      </w:r>
      <w:r w:rsidR="00E960EA">
        <w:rPr>
          <w:b/>
          <w:sz w:val="24"/>
          <w:szCs w:val="24"/>
          <w:u w:val="single"/>
        </w:rPr>
        <w:lastRenderedPageBreak/>
        <w:t>однос на 2013</w:t>
      </w:r>
      <w:r w:rsidRPr="00262CA9">
        <w:rPr>
          <w:b/>
          <w:sz w:val="24"/>
          <w:szCs w:val="24"/>
          <w:u w:val="single"/>
        </w:rPr>
        <w:t xml:space="preserve"> година кај пратките за коресподенција или </w:t>
      </w:r>
      <w:r w:rsidR="00E960EA">
        <w:rPr>
          <w:b/>
          <w:sz w:val="24"/>
          <w:szCs w:val="24"/>
          <w:u w:val="single"/>
        </w:rPr>
        <w:t>2</w:t>
      </w:r>
      <w:r w:rsidR="00D855AA">
        <w:rPr>
          <w:b/>
          <w:sz w:val="24"/>
          <w:szCs w:val="24"/>
          <w:u w:val="single"/>
        </w:rPr>
        <w:t>7</w:t>
      </w:r>
      <w:r w:rsidR="00E960EA">
        <w:rPr>
          <w:b/>
          <w:sz w:val="24"/>
          <w:szCs w:val="24"/>
          <w:u w:val="single"/>
        </w:rPr>
        <w:t>6</w:t>
      </w:r>
      <w:r w:rsidRPr="00262CA9">
        <w:rPr>
          <w:b/>
          <w:sz w:val="24"/>
          <w:szCs w:val="24"/>
          <w:u w:val="single"/>
        </w:rPr>
        <w:t xml:space="preserve"> % во однос на 2011 година. </w:t>
      </w:r>
      <w:r w:rsidRPr="00262CA9">
        <w:rPr>
          <w:i/>
          <w:sz w:val="24"/>
          <w:szCs w:val="24"/>
          <w:u w:val="single"/>
        </w:rPr>
        <w:t xml:space="preserve">Овој податок е јасен показател дека и </w:t>
      </w:r>
      <w:r w:rsidR="00E960EA">
        <w:rPr>
          <w:i/>
          <w:sz w:val="24"/>
          <w:szCs w:val="24"/>
          <w:u w:val="single"/>
        </w:rPr>
        <w:t xml:space="preserve">понатаму </w:t>
      </w:r>
      <w:r w:rsidRPr="00262CA9">
        <w:rPr>
          <w:i/>
          <w:sz w:val="24"/>
          <w:szCs w:val="24"/>
          <w:u w:val="single"/>
        </w:rPr>
        <w:t>конкуренцијата зазема добар дел од пазаро</w:t>
      </w:r>
      <w:r w:rsidR="00E960EA">
        <w:rPr>
          <w:i/>
          <w:sz w:val="24"/>
          <w:szCs w:val="24"/>
          <w:u w:val="single"/>
        </w:rPr>
        <w:t xml:space="preserve">т на пратките за коресподенција и </w:t>
      </w:r>
      <w:r w:rsidR="00D20AEF">
        <w:rPr>
          <w:i/>
          <w:sz w:val="24"/>
          <w:szCs w:val="24"/>
          <w:u w:val="single"/>
        </w:rPr>
        <w:t xml:space="preserve">компаниите кои работат на слободен пазар </w:t>
      </w:r>
      <w:r w:rsidR="00E960EA">
        <w:rPr>
          <w:i/>
          <w:sz w:val="24"/>
          <w:szCs w:val="24"/>
          <w:u w:val="single"/>
        </w:rPr>
        <w:t>станува</w:t>
      </w:r>
      <w:r w:rsidR="00D20AEF">
        <w:rPr>
          <w:i/>
          <w:sz w:val="24"/>
          <w:szCs w:val="24"/>
          <w:u w:val="single"/>
        </w:rPr>
        <w:t>ат</w:t>
      </w:r>
      <w:r w:rsidR="00E960EA">
        <w:rPr>
          <w:i/>
          <w:sz w:val="24"/>
          <w:szCs w:val="24"/>
          <w:u w:val="single"/>
        </w:rPr>
        <w:t xml:space="preserve"> достоен конкурент на Давателот на универзална услуга.</w:t>
      </w:r>
    </w:p>
    <w:p w:rsidR="008E3C44" w:rsidRDefault="008E3C44" w:rsidP="008E3C44">
      <w:pPr>
        <w:ind w:right="237" w:firstLine="851"/>
        <w:jc w:val="both"/>
        <w:rPr>
          <w:i/>
          <w:sz w:val="24"/>
          <w:szCs w:val="24"/>
          <w:u w:val="single"/>
        </w:rPr>
      </w:pPr>
    </w:p>
    <w:p w:rsidR="007E642E" w:rsidRPr="007E642E" w:rsidRDefault="007E642E" w:rsidP="008E3C44">
      <w:pPr>
        <w:spacing w:after="0"/>
        <w:ind w:right="237"/>
        <w:jc w:val="center"/>
        <w:rPr>
          <w:rFonts w:ascii="Calibri" w:eastAsia="Times New Roman" w:hAnsi="Calibri" w:cs="Times New Roman"/>
          <w:i/>
          <w:sz w:val="24"/>
          <w:szCs w:val="24"/>
          <w:lang w:eastAsia="mk-MK"/>
        </w:rPr>
      </w:pPr>
      <w:r w:rsidRPr="007E642E">
        <w:rPr>
          <w:rFonts w:ascii="Calibri" w:eastAsia="Times New Roman" w:hAnsi="Calibri" w:cs="Times New Roman"/>
          <w:i/>
          <w:sz w:val="24"/>
          <w:szCs w:val="24"/>
          <w:lang w:eastAsia="mk-MK"/>
        </w:rPr>
        <w:t>Слика 19: Анализа на пратки за коресподенција</w:t>
      </w:r>
      <w:r w:rsidRPr="007E642E">
        <w:rPr>
          <w:rFonts w:ascii="Calibri" w:eastAsia="Times New Roman" w:hAnsi="Calibri" w:cs="Times New Roman"/>
          <w:i/>
          <w:sz w:val="24"/>
          <w:szCs w:val="24"/>
          <w:lang w:val="en-US" w:eastAsia="mk-MK"/>
        </w:rPr>
        <w:t xml:space="preserve"> </w:t>
      </w:r>
      <w:r w:rsidRPr="007E642E">
        <w:rPr>
          <w:rFonts w:ascii="Calibri" w:eastAsia="Times New Roman" w:hAnsi="Calibri" w:cs="Times New Roman"/>
          <w:i/>
          <w:sz w:val="24"/>
          <w:szCs w:val="24"/>
          <w:lang w:eastAsia="mk-MK"/>
        </w:rPr>
        <w:t>кај даватели</w:t>
      </w:r>
      <w:r>
        <w:rPr>
          <w:rFonts w:ascii="Calibri" w:eastAsia="Times New Roman" w:hAnsi="Calibri" w:cs="Times New Roman"/>
          <w:i/>
          <w:sz w:val="24"/>
          <w:szCs w:val="24"/>
          <w:lang w:eastAsia="mk-MK"/>
        </w:rPr>
        <w:t>те</w:t>
      </w:r>
      <w:r w:rsidRPr="007E642E">
        <w:rPr>
          <w:rFonts w:ascii="Calibri" w:eastAsia="Times New Roman" w:hAnsi="Calibri" w:cs="Times New Roman"/>
          <w:i/>
          <w:sz w:val="24"/>
          <w:szCs w:val="24"/>
          <w:lang w:eastAsia="mk-MK"/>
        </w:rPr>
        <w:t xml:space="preserve"> н</w:t>
      </w:r>
      <w:r>
        <w:rPr>
          <w:rFonts w:ascii="Calibri" w:eastAsia="Times New Roman" w:hAnsi="Calibri" w:cs="Times New Roman"/>
          <w:i/>
          <w:sz w:val="24"/>
          <w:szCs w:val="24"/>
          <w:lang w:eastAsia="mk-MK"/>
        </w:rPr>
        <w:t>а поштенски услуги на слободен</w:t>
      </w:r>
      <w:r w:rsidRPr="007E642E">
        <w:rPr>
          <w:rFonts w:ascii="Calibri" w:eastAsia="Times New Roman" w:hAnsi="Calibri" w:cs="Times New Roman"/>
          <w:i/>
          <w:sz w:val="24"/>
          <w:szCs w:val="24"/>
          <w:lang w:eastAsia="mk-MK"/>
        </w:rPr>
        <w:t xml:space="preserve"> поштенски пазар </w:t>
      </w:r>
      <w:r w:rsidRPr="007E642E">
        <w:rPr>
          <w:rFonts w:ascii="Calibri" w:eastAsia="Times New Roman" w:hAnsi="Calibri" w:cs="Times New Roman"/>
          <w:i/>
          <w:sz w:val="24"/>
          <w:szCs w:val="24"/>
          <w:lang w:val="en-US" w:eastAsia="mk-MK"/>
        </w:rPr>
        <w:t>- вкупно 201</w:t>
      </w:r>
      <w:r>
        <w:rPr>
          <w:rFonts w:ascii="Calibri" w:eastAsia="Times New Roman" w:hAnsi="Calibri" w:cs="Times New Roman"/>
          <w:i/>
          <w:sz w:val="24"/>
          <w:szCs w:val="24"/>
          <w:lang w:eastAsia="mk-MK"/>
        </w:rPr>
        <w:t>4</w:t>
      </w:r>
      <w:r w:rsidRPr="007E642E">
        <w:rPr>
          <w:rFonts w:ascii="Calibri" w:eastAsia="Times New Roman" w:hAnsi="Calibri" w:cs="Times New Roman"/>
          <w:i/>
          <w:sz w:val="24"/>
          <w:szCs w:val="24"/>
          <w:lang w:val="en-US" w:eastAsia="mk-MK"/>
        </w:rPr>
        <w:t xml:space="preserve"> година</w:t>
      </w:r>
    </w:p>
    <w:p w:rsidR="007E642E" w:rsidRPr="007E642E" w:rsidRDefault="007E642E" w:rsidP="007E642E">
      <w:pPr>
        <w:spacing w:after="0"/>
        <w:ind w:right="237"/>
        <w:jc w:val="both"/>
        <w:rPr>
          <w:rFonts w:ascii="Calibri" w:eastAsia="Times New Roman" w:hAnsi="Calibri" w:cs="Times New Roman"/>
          <w:i/>
          <w:sz w:val="24"/>
          <w:szCs w:val="24"/>
          <w:lang w:eastAsia="mk-MK"/>
        </w:rPr>
      </w:pPr>
    </w:p>
    <w:p w:rsidR="00D20AEF" w:rsidRDefault="007E642E" w:rsidP="008E3C44">
      <w:pPr>
        <w:ind w:right="237"/>
        <w:jc w:val="center"/>
        <w:rPr>
          <w:b/>
          <w:sz w:val="24"/>
          <w:szCs w:val="24"/>
          <w:u w:val="single"/>
        </w:rPr>
      </w:pPr>
      <w:r w:rsidRPr="007E642E">
        <w:rPr>
          <w:noProof/>
          <w:lang w:eastAsia="mk-MK"/>
        </w:rPr>
        <w:drawing>
          <wp:inline distT="0" distB="0" distL="0" distR="0" wp14:anchorId="3CD78EF3" wp14:editId="3493C4C3">
            <wp:extent cx="5400675" cy="31813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3C44" w:rsidRPr="008E3C44" w:rsidRDefault="008E3C44" w:rsidP="008E3C44">
      <w:pPr>
        <w:ind w:right="237"/>
        <w:jc w:val="center"/>
        <w:rPr>
          <w:b/>
          <w:sz w:val="24"/>
          <w:szCs w:val="24"/>
          <w:u w:val="single"/>
        </w:rPr>
      </w:pPr>
    </w:p>
    <w:p w:rsidR="00B342E3" w:rsidRDefault="00B342E3" w:rsidP="008E3C44">
      <w:pPr>
        <w:ind w:right="237" w:firstLine="851"/>
        <w:jc w:val="both"/>
        <w:rPr>
          <w:sz w:val="24"/>
          <w:szCs w:val="24"/>
        </w:rPr>
      </w:pPr>
      <w:r w:rsidRPr="00B342E3">
        <w:rPr>
          <w:sz w:val="24"/>
          <w:szCs w:val="24"/>
        </w:rPr>
        <w:t xml:space="preserve">Обезбедувањето на пратките за коресподенција кај давателите на поштенските услуги на слободниот пазар е </w:t>
      </w:r>
      <w:r w:rsidR="00B13157">
        <w:rPr>
          <w:sz w:val="24"/>
          <w:szCs w:val="24"/>
        </w:rPr>
        <w:t>најконцентрирана</w:t>
      </w:r>
      <w:r w:rsidRPr="00B342E3">
        <w:rPr>
          <w:sz w:val="24"/>
          <w:szCs w:val="24"/>
        </w:rPr>
        <w:t xml:space="preserve"> </w:t>
      </w:r>
      <w:r w:rsidR="00B13157">
        <w:rPr>
          <w:sz w:val="24"/>
          <w:szCs w:val="24"/>
        </w:rPr>
        <w:t>во делот на</w:t>
      </w:r>
      <w:r w:rsidRPr="00B342E3">
        <w:rPr>
          <w:sz w:val="24"/>
          <w:szCs w:val="24"/>
        </w:rPr>
        <w:t xml:space="preserve"> препорачаните писма, кои опфаќаат процент од </w:t>
      </w:r>
      <w:r>
        <w:rPr>
          <w:sz w:val="24"/>
          <w:szCs w:val="24"/>
        </w:rPr>
        <w:t>68</w:t>
      </w:r>
      <w:r w:rsidRPr="00B342E3">
        <w:rPr>
          <w:sz w:val="24"/>
          <w:szCs w:val="24"/>
        </w:rPr>
        <w:t>%, што укажува дека корисниците се повеќе бараат услуги со кои се гарантира нивната безбедност искажана преку можноста што ја нудат ваквите услуги.</w:t>
      </w:r>
    </w:p>
    <w:p w:rsidR="008E3C44" w:rsidRPr="00B342E3" w:rsidRDefault="008E3C44" w:rsidP="008E3C44">
      <w:pPr>
        <w:ind w:right="237" w:firstLine="851"/>
        <w:jc w:val="both"/>
        <w:rPr>
          <w:sz w:val="24"/>
          <w:szCs w:val="24"/>
        </w:rPr>
      </w:pPr>
    </w:p>
    <w:tbl>
      <w:tblPr>
        <w:tblStyle w:val="TableGrid22"/>
        <w:tblpPr w:leftFromText="180" w:rightFromText="180" w:vertAnchor="text" w:horzAnchor="margin" w:tblpY="896"/>
        <w:tblW w:w="0" w:type="auto"/>
        <w:tblBorders>
          <w:top w:val="single" w:sz="4" w:space="0" w:color="FFFFFF" w:themeColor="background1"/>
          <w:bottom w:val="single" w:sz="4" w:space="0" w:color="000000" w:themeColor="text1"/>
          <w:insideH w:val="single" w:sz="4" w:space="0" w:color="FFFFFF" w:themeColor="background1"/>
        </w:tblBorders>
        <w:tblLook w:val="04A0" w:firstRow="1" w:lastRow="0" w:firstColumn="1" w:lastColumn="0" w:noHBand="0" w:noVBand="1"/>
      </w:tblPr>
      <w:tblGrid>
        <w:gridCol w:w="2493"/>
        <w:gridCol w:w="1301"/>
        <w:gridCol w:w="1417"/>
        <w:gridCol w:w="1418"/>
        <w:gridCol w:w="1276"/>
        <w:gridCol w:w="1485"/>
      </w:tblGrid>
      <w:tr w:rsidR="008E3C44" w:rsidRPr="00CF4481" w:rsidTr="008E3C44">
        <w:tc>
          <w:tcPr>
            <w:tcW w:w="2493" w:type="dxa"/>
            <w:shd w:val="clear" w:color="auto" w:fill="DA105D"/>
            <w:vAlign w:val="center"/>
          </w:tcPr>
          <w:p w:rsidR="008E3C44" w:rsidRPr="00CF4481" w:rsidRDefault="008E3C44" w:rsidP="008E3C44">
            <w:pPr>
              <w:ind w:right="237"/>
              <w:jc w:val="center"/>
              <w:rPr>
                <w:rFonts w:eastAsia="Calibri" w:cstheme="minorHAnsi"/>
                <w:b/>
                <w:color w:val="FFFFFF"/>
                <w:sz w:val="24"/>
                <w:szCs w:val="24"/>
              </w:rPr>
            </w:pPr>
          </w:p>
        </w:tc>
        <w:tc>
          <w:tcPr>
            <w:tcW w:w="1301" w:type="dxa"/>
            <w:shd w:val="clear" w:color="auto" w:fill="DA105D"/>
            <w:vAlign w:val="center"/>
          </w:tcPr>
          <w:p w:rsidR="008E3C44" w:rsidRPr="00CF4481" w:rsidRDefault="008E3C44" w:rsidP="008E3C44">
            <w:pPr>
              <w:ind w:right="237"/>
              <w:jc w:val="center"/>
              <w:rPr>
                <w:rFonts w:eastAsia="Calibri" w:cstheme="minorHAnsi"/>
                <w:b/>
                <w:color w:val="FFFFFF"/>
                <w:sz w:val="24"/>
                <w:szCs w:val="24"/>
              </w:rPr>
            </w:pPr>
            <w:r w:rsidRPr="00CF4481">
              <w:rPr>
                <w:rFonts w:eastAsia="Calibri" w:cstheme="minorHAnsi"/>
                <w:b/>
                <w:color w:val="FFFFFF"/>
                <w:sz w:val="24"/>
                <w:szCs w:val="24"/>
              </w:rPr>
              <w:t>2010</w:t>
            </w:r>
          </w:p>
          <w:p w:rsidR="008E3C44" w:rsidRPr="00CF4481" w:rsidRDefault="008E3C44" w:rsidP="008E3C44">
            <w:pPr>
              <w:ind w:right="237"/>
              <w:jc w:val="center"/>
              <w:rPr>
                <w:rFonts w:eastAsia="Calibri" w:cstheme="minorHAnsi"/>
                <w:b/>
                <w:color w:val="FFFFFF"/>
                <w:sz w:val="24"/>
                <w:szCs w:val="24"/>
              </w:rPr>
            </w:pPr>
            <w:r w:rsidRPr="00CF4481">
              <w:rPr>
                <w:rFonts w:eastAsia="Calibri" w:cstheme="minorHAnsi"/>
                <w:b/>
                <w:color w:val="FFFFFF"/>
                <w:sz w:val="24"/>
                <w:szCs w:val="24"/>
              </w:rPr>
              <w:t>година</w:t>
            </w:r>
          </w:p>
        </w:tc>
        <w:tc>
          <w:tcPr>
            <w:tcW w:w="1417" w:type="dxa"/>
            <w:shd w:val="clear" w:color="auto" w:fill="DA105D"/>
            <w:vAlign w:val="center"/>
          </w:tcPr>
          <w:p w:rsidR="008E3C44" w:rsidRPr="00CF4481" w:rsidRDefault="008E3C44" w:rsidP="008E3C44">
            <w:pPr>
              <w:ind w:right="237"/>
              <w:jc w:val="center"/>
              <w:rPr>
                <w:rFonts w:eastAsia="Calibri" w:cstheme="minorHAnsi"/>
                <w:b/>
                <w:color w:val="FFFFFF"/>
                <w:sz w:val="24"/>
                <w:szCs w:val="24"/>
              </w:rPr>
            </w:pPr>
            <w:r w:rsidRPr="00CF4481">
              <w:rPr>
                <w:rFonts w:eastAsia="Calibri" w:cstheme="minorHAnsi"/>
                <w:b/>
                <w:color w:val="FFFFFF"/>
                <w:sz w:val="24"/>
                <w:szCs w:val="24"/>
              </w:rPr>
              <w:t>2011 година</w:t>
            </w:r>
          </w:p>
        </w:tc>
        <w:tc>
          <w:tcPr>
            <w:tcW w:w="1418" w:type="dxa"/>
            <w:shd w:val="clear" w:color="auto" w:fill="DA105D"/>
            <w:vAlign w:val="center"/>
          </w:tcPr>
          <w:p w:rsidR="008E3C44" w:rsidRPr="00CF4481" w:rsidRDefault="008E3C44" w:rsidP="008E3C44">
            <w:pPr>
              <w:ind w:right="237"/>
              <w:jc w:val="center"/>
              <w:rPr>
                <w:rFonts w:eastAsia="Calibri" w:cstheme="minorHAnsi"/>
                <w:b/>
                <w:color w:val="FFFFFF"/>
                <w:sz w:val="24"/>
                <w:szCs w:val="24"/>
              </w:rPr>
            </w:pPr>
            <w:r w:rsidRPr="00CF4481">
              <w:rPr>
                <w:rFonts w:eastAsia="Calibri" w:cstheme="minorHAnsi"/>
                <w:b/>
                <w:color w:val="FFFFFF"/>
                <w:sz w:val="24"/>
                <w:szCs w:val="24"/>
              </w:rPr>
              <w:t>2012 година</w:t>
            </w:r>
          </w:p>
        </w:tc>
        <w:tc>
          <w:tcPr>
            <w:tcW w:w="1276" w:type="dxa"/>
            <w:shd w:val="clear" w:color="auto" w:fill="DA105D"/>
            <w:vAlign w:val="center"/>
          </w:tcPr>
          <w:p w:rsidR="008E3C44" w:rsidRPr="00CF4481" w:rsidRDefault="008E3C44" w:rsidP="008E3C44">
            <w:pPr>
              <w:ind w:right="237"/>
              <w:jc w:val="center"/>
              <w:rPr>
                <w:rFonts w:eastAsia="Calibri" w:cstheme="minorHAnsi"/>
                <w:b/>
                <w:color w:val="FFFFFF"/>
                <w:sz w:val="24"/>
                <w:szCs w:val="24"/>
              </w:rPr>
            </w:pPr>
            <w:r w:rsidRPr="00CF4481">
              <w:rPr>
                <w:rFonts w:eastAsia="Calibri" w:cstheme="minorHAnsi"/>
                <w:b/>
                <w:color w:val="FFFFFF"/>
                <w:sz w:val="24"/>
                <w:szCs w:val="24"/>
              </w:rPr>
              <w:t>2013 година</w:t>
            </w:r>
          </w:p>
        </w:tc>
        <w:tc>
          <w:tcPr>
            <w:tcW w:w="1485" w:type="dxa"/>
            <w:shd w:val="clear" w:color="auto" w:fill="DA105D"/>
            <w:vAlign w:val="center"/>
          </w:tcPr>
          <w:p w:rsidR="008E3C44" w:rsidRPr="00CF4481" w:rsidRDefault="008E3C44" w:rsidP="008E3C44">
            <w:pPr>
              <w:jc w:val="center"/>
              <w:rPr>
                <w:rFonts w:eastAsia="Calibri" w:cstheme="minorHAnsi"/>
                <w:b/>
                <w:color w:val="FFFFFF"/>
                <w:sz w:val="24"/>
                <w:szCs w:val="24"/>
              </w:rPr>
            </w:pPr>
          </w:p>
          <w:p w:rsidR="008E3C44" w:rsidRPr="00CF4481" w:rsidRDefault="008E3C44" w:rsidP="008E3C44">
            <w:pPr>
              <w:jc w:val="center"/>
              <w:rPr>
                <w:rFonts w:eastAsia="Calibri" w:cstheme="minorHAnsi"/>
                <w:b/>
                <w:color w:val="FFFFFF"/>
                <w:sz w:val="24"/>
                <w:szCs w:val="24"/>
              </w:rPr>
            </w:pPr>
            <w:r w:rsidRPr="00CF4481">
              <w:rPr>
                <w:rFonts w:eastAsia="Calibri" w:cstheme="minorHAnsi"/>
                <w:b/>
                <w:color w:val="FFFFFF"/>
                <w:sz w:val="24"/>
                <w:szCs w:val="24"/>
              </w:rPr>
              <w:t>2014        година</w:t>
            </w:r>
          </w:p>
          <w:p w:rsidR="008E3C44" w:rsidRPr="00CF4481" w:rsidRDefault="008E3C44" w:rsidP="008E3C44">
            <w:pPr>
              <w:ind w:right="237"/>
              <w:jc w:val="center"/>
              <w:rPr>
                <w:rFonts w:eastAsia="Calibri" w:cstheme="minorHAnsi"/>
                <w:b/>
                <w:color w:val="FFFFFF"/>
                <w:sz w:val="24"/>
                <w:szCs w:val="24"/>
              </w:rPr>
            </w:pPr>
          </w:p>
        </w:tc>
      </w:tr>
      <w:tr w:rsidR="008E3C44" w:rsidRPr="00CF4481" w:rsidTr="008E3C44">
        <w:trPr>
          <w:trHeight w:val="794"/>
        </w:trPr>
        <w:tc>
          <w:tcPr>
            <w:tcW w:w="2493" w:type="dxa"/>
            <w:vAlign w:val="center"/>
          </w:tcPr>
          <w:p w:rsidR="008E3C44" w:rsidRPr="00CF4481" w:rsidRDefault="008E3C44" w:rsidP="008E3C44">
            <w:pPr>
              <w:ind w:right="237"/>
              <w:rPr>
                <w:rFonts w:eastAsia="Calibri" w:cstheme="minorHAnsi"/>
                <w:b/>
                <w:sz w:val="28"/>
                <w:szCs w:val="28"/>
              </w:rPr>
            </w:pPr>
            <w:r w:rsidRPr="00CF4481">
              <w:rPr>
                <w:rFonts w:eastAsia="Calibri" w:cstheme="minorHAnsi"/>
                <w:b/>
                <w:sz w:val="28"/>
                <w:szCs w:val="28"/>
              </w:rPr>
              <w:t>Пакети</w:t>
            </w:r>
          </w:p>
        </w:tc>
        <w:tc>
          <w:tcPr>
            <w:tcW w:w="1301" w:type="dxa"/>
            <w:vAlign w:val="center"/>
          </w:tcPr>
          <w:p w:rsidR="008E3C44" w:rsidRPr="00CF4481" w:rsidRDefault="008E3C44" w:rsidP="008E3C44">
            <w:pPr>
              <w:rPr>
                <w:rFonts w:eastAsia="Times New Roman" w:cstheme="minorHAnsi"/>
                <w:sz w:val="24"/>
                <w:szCs w:val="24"/>
                <w:lang w:eastAsia="mk-MK"/>
              </w:rPr>
            </w:pPr>
            <w:r>
              <w:rPr>
                <w:sz w:val="24"/>
                <w:szCs w:val="24"/>
              </w:rPr>
              <w:t xml:space="preserve">  </w:t>
            </w:r>
            <w:r w:rsidRPr="00CF4481">
              <w:rPr>
                <w:sz w:val="24"/>
                <w:szCs w:val="24"/>
              </w:rPr>
              <w:t>307,554</w:t>
            </w:r>
          </w:p>
        </w:tc>
        <w:tc>
          <w:tcPr>
            <w:tcW w:w="1417" w:type="dxa"/>
            <w:vAlign w:val="center"/>
          </w:tcPr>
          <w:p w:rsidR="008E3C44" w:rsidRPr="00CF4481" w:rsidRDefault="008E3C44" w:rsidP="008E3C44">
            <w:pPr>
              <w:jc w:val="center"/>
              <w:rPr>
                <w:rFonts w:cstheme="minorHAnsi"/>
                <w:sz w:val="24"/>
                <w:szCs w:val="24"/>
              </w:rPr>
            </w:pPr>
            <w:r w:rsidRPr="00CF4481">
              <w:rPr>
                <w:rFonts w:cstheme="minorHAnsi"/>
                <w:sz w:val="24"/>
                <w:szCs w:val="24"/>
              </w:rPr>
              <w:t>368,136</w:t>
            </w:r>
          </w:p>
        </w:tc>
        <w:tc>
          <w:tcPr>
            <w:tcW w:w="1418" w:type="dxa"/>
            <w:vAlign w:val="center"/>
          </w:tcPr>
          <w:p w:rsidR="008E3C44" w:rsidRPr="00CF4481" w:rsidRDefault="008E3C44" w:rsidP="008E3C44">
            <w:pPr>
              <w:jc w:val="center"/>
              <w:rPr>
                <w:rFonts w:cstheme="minorHAnsi"/>
                <w:sz w:val="24"/>
                <w:szCs w:val="24"/>
              </w:rPr>
            </w:pPr>
            <w:r w:rsidRPr="00CF4481">
              <w:rPr>
                <w:rFonts w:cstheme="minorHAnsi"/>
                <w:sz w:val="24"/>
                <w:szCs w:val="24"/>
              </w:rPr>
              <w:t>561,014</w:t>
            </w:r>
          </w:p>
        </w:tc>
        <w:tc>
          <w:tcPr>
            <w:tcW w:w="1276" w:type="dxa"/>
            <w:vAlign w:val="center"/>
          </w:tcPr>
          <w:p w:rsidR="008E3C44" w:rsidRPr="00CF4481" w:rsidRDefault="008E3C44" w:rsidP="008E3C44">
            <w:pPr>
              <w:jc w:val="center"/>
              <w:rPr>
                <w:rFonts w:eastAsia="Times New Roman" w:cstheme="minorHAnsi"/>
                <w:sz w:val="24"/>
                <w:szCs w:val="24"/>
                <w:lang w:eastAsia="mk-MK"/>
              </w:rPr>
            </w:pPr>
            <w:r w:rsidRPr="00CF4481">
              <w:rPr>
                <w:rFonts w:eastAsia="Times New Roman" w:cstheme="minorHAnsi"/>
                <w:sz w:val="24"/>
                <w:szCs w:val="24"/>
                <w:lang w:eastAsia="mk-MK"/>
              </w:rPr>
              <w:t>762,290</w:t>
            </w:r>
          </w:p>
        </w:tc>
        <w:tc>
          <w:tcPr>
            <w:tcW w:w="1485" w:type="dxa"/>
            <w:vAlign w:val="center"/>
          </w:tcPr>
          <w:p w:rsidR="008E3C44" w:rsidRPr="00CF4481" w:rsidRDefault="008E3C44" w:rsidP="008E3C44">
            <w:pPr>
              <w:jc w:val="center"/>
              <w:rPr>
                <w:rFonts w:eastAsia="Times New Roman" w:cstheme="minorHAnsi"/>
                <w:sz w:val="24"/>
                <w:szCs w:val="24"/>
                <w:lang w:eastAsia="mk-MK"/>
              </w:rPr>
            </w:pPr>
            <w:r>
              <w:rPr>
                <w:sz w:val="24"/>
                <w:szCs w:val="24"/>
              </w:rPr>
              <w:t>966,183</w:t>
            </w:r>
          </w:p>
        </w:tc>
      </w:tr>
    </w:tbl>
    <w:p w:rsidR="00084239" w:rsidRPr="008E3C44" w:rsidRDefault="00CF4481" w:rsidP="008E3C44">
      <w:pPr>
        <w:spacing w:after="0"/>
        <w:ind w:right="237"/>
        <w:jc w:val="center"/>
        <w:rPr>
          <w:rFonts w:ascii="Calibri" w:eastAsia="Times New Roman" w:hAnsi="Calibri" w:cs="Times New Roman"/>
          <w:i/>
          <w:sz w:val="24"/>
          <w:szCs w:val="24"/>
          <w:lang w:eastAsia="mk-MK"/>
        </w:rPr>
      </w:pPr>
      <w:r w:rsidRPr="00CF4481">
        <w:rPr>
          <w:rFonts w:ascii="Calibri" w:eastAsia="Times New Roman" w:hAnsi="Calibri" w:cs="Times New Roman"/>
          <w:i/>
          <w:sz w:val="24"/>
          <w:szCs w:val="24"/>
          <w:lang w:eastAsia="mk-MK"/>
        </w:rPr>
        <w:t>Слика 20: Обезбедување на услугата -пакети</w:t>
      </w:r>
      <w:r w:rsidRPr="00CF4481">
        <w:rPr>
          <w:rFonts w:ascii="Calibri" w:eastAsia="Times New Roman" w:hAnsi="Calibri" w:cs="Times New Roman"/>
          <w:i/>
          <w:sz w:val="24"/>
          <w:szCs w:val="24"/>
          <w:lang w:val="en-US" w:eastAsia="mk-MK"/>
        </w:rPr>
        <w:t xml:space="preserve"> </w:t>
      </w:r>
      <w:r w:rsidRPr="00CF4481">
        <w:rPr>
          <w:rFonts w:ascii="Calibri" w:eastAsia="Times New Roman" w:hAnsi="Calibri" w:cs="Times New Roman"/>
          <w:i/>
          <w:sz w:val="24"/>
          <w:szCs w:val="24"/>
          <w:lang w:eastAsia="mk-MK"/>
        </w:rPr>
        <w:t xml:space="preserve">кај даватели на поштенски услуги на слободниот поштенски пазар </w:t>
      </w:r>
      <w:r w:rsidRPr="00CF4481">
        <w:rPr>
          <w:rFonts w:ascii="Calibri" w:eastAsia="Times New Roman" w:hAnsi="Calibri" w:cs="Times New Roman"/>
          <w:i/>
          <w:sz w:val="24"/>
          <w:szCs w:val="24"/>
          <w:lang w:val="en-US" w:eastAsia="mk-MK"/>
        </w:rPr>
        <w:t>- 201</w:t>
      </w:r>
      <w:r w:rsidRPr="00CF4481">
        <w:rPr>
          <w:rFonts w:ascii="Calibri" w:eastAsia="Times New Roman" w:hAnsi="Calibri" w:cs="Times New Roman"/>
          <w:i/>
          <w:sz w:val="24"/>
          <w:szCs w:val="24"/>
          <w:lang w:eastAsia="mk-MK"/>
        </w:rPr>
        <w:t>0/2014</w:t>
      </w:r>
      <w:r w:rsidRPr="00CF4481">
        <w:rPr>
          <w:rFonts w:ascii="Calibri" w:eastAsia="Times New Roman" w:hAnsi="Calibri" w:cs="Times New Roman"/>
          <w:i/>
          <w:sz w:val="24"/>
          <w:szCs w:val="24"/>
          <w:lang w:val="en-US" w:eastAsia="mk-MK"/>
        </w:rPr>
        <w:t xml:space="preserve"> година</w:t>
      </w:r>
    </w:p>
    <w:p w:rsidR="00084239" w:rsidRDefault="00084239" w:rsidP="008E3C44">
      <w:pPr>
        <w:ind w:right="237" w:firstLine="851"/>
        <w:jc w:val="both"/>
        <w:rPr>
          <w:b/>
          <w:sz w:val="24"/>
          <w:szCs w:val="24"/>
          <w:u w:val="single"/>
        </w:rPr>
      </w:pPr>
      <w:r w:rsidRPr="00084239">
        <w:rPr>
          <w:sz w:val="24"/>
          <w:szCs w:val="24"/>
        </w:rPr>
        <w:lastRenderedPageBreak/>
        <w:t xml:space="preserve">Наведените податоци за обезбедување на услугата – пакети укажуваат на зголемување на обемот на овие услуги и тоа од 2010 година за </w:t>
      </w:r>
      <w:r w:rsidR="00D855AA">
        <w:rPr>
          <w:b/>
          <w:sz w:val="24"/>
          <w:szCs w:val="24"/>
        </w:rPr>
        <w:t>2</w:t>
      </w:r>
      <w:r w:rsidRPr="00084239">
        <w:rPr>
          <w:b/>
          <w:sz w:val="24"/>
          <w:szCs w:val="24"/>
        </w:rPr>
        <w:t xml:space="preserve">14%, </w:t>
      </w:r>
      <w:r w:rsidRPr="00084239">
        <w:rPr>
          <w:b/>
          <w:sz w:val="24"/>
          <w:szCs w:val="24"/>
          <w:u w:val="single"/>
        </w:rPr>
        <w:t>а 26% зголемување на о</w:t>
      </w:r>
      <w:r>
        <w:rPr>
          <w:b/>
          <w:sz w:val="24"/>
          <w:szCs w:val="24"/>
          <w:u w:val="single"/>
        </w:rPr>
        <w:t>бемот на пакети во однос на 2013</w:t>
      </w:r>
      <w:r w:rsidRPr="00084239">
        <w:rPr>
          <w:b/>
          <w:sz w:val="24"/>
          <w:szCs w:val="24"/>
          <w:u w:val="single"/>
        </w:rPr>
        <w:t xml:space="preserve"> год.</w:t>
      </w:r>
    </w:p>
    <w:p w:rsidR="00395303" w:rsidRDefault="00395303" w:rsidP="008E3C44">
      <w:pPr>
        <w:ind w:right="237" w:firstLine="851"/>
        <w:jc w:val="both"/>
        <w:rPr>
          <w:b/>
          <w:sz w:val="24"/>
          <w:szCs w:val="24"/>
          <w:u w:val="single"/>
        </w:rPr>
      </w:pPr>
    </w:p>
    <w:p w:rsidR="00261D50" w:rsidRPr="00261D50" w:rsidRDefault="00261D50" w:rsidP="00395303">
      <w:pPr>
        <w:spacing w:after="0"/>
        <w:ind w:right="237"/>
        <w:jc w:val="center"/>
        <w:rPr>
          <w:rFonts w:ascii="Calibri" w:eastAsia="Times New Roman" w:hAnsi="Calibri" w:cs="Times New Roman"/>
          <w:i/>
          <w:sz w:val="24"/>
          <w:szCs w:val="24"/>
          <w:lang w:eastAsia="mk-MK"/>
        </w:rPr>
      </w:pPr>
      <w:r w:rsidRPr="00261D50">
        <w:rPr>
          <w:rFonts w:ascii="Calibri" w:eastAsia="Times New Roman" w:hAnsi="Calibri" w:cs="Times New Roman"/>
          <w:i/>
          <w:sz w:val="24"/>
          <w:szCs w:val="24"/>
          <w:lang w:eastAsia="mk-MK"/>
        </w:rPr>
        <w:t xml:space="preserve">Слика 21: Обезбедување на поштенските услуги по вид на сообраќај кај даватели на поштенски услуги на слободниот поштенски пазар </w:t>
      </w:r>
      <w:r w:rsidRPr="00261D50">
        <w:rPr>
          <w:rFonts w:ascii="Calibri" w:eastAsia="Times New Roman" w:hAnsi="Calibri" w:cs="Times New Roman"/>
          <w:i/>
          <w:sz w:val="24"/>
          <w:szCs w:val="24"/>
          <w:lang w:val="en-US" w:eastAsia="mk-MK"/>
        </w:rPr>
        <w:t>- 201</w:t>
      </w:r>
      <w:r>
        <w:rPr>
          <w:rFonts w:ascii="Calibri" w:eastAsia="Times New Roman" w:hAnsi="Calibri" w:cs="Times New Roman"/>
          <w:i/>
          <w:sz w:val="24"/>
          <w:szCs w:val="24"/>
          <w:lang w:eastAsia="mk-MK"/>
        </w:rPr>
        <w:t>4</w:t>
      </w:r>
      <w:r w:rsidRPr="00261D50">
        <w:rPr>
          <w:rFonts w:ascii="Calibri" w:eastAsia="Times New Roman" w:hAnsi="Calibri" w:cs="Times New Roman"/>
          <w:i/>
          <w:sz w:val="24"/>
          <w:szCs w:val="24"/>
          <w:lang w:val="en-US" w:eastAsia="mk-MK"/>
        </w:rPr>
        <w:t xml:space="preserve"> година</w:t>
      </w:r>
    </w:p>
    <w:p w:rsidR="00261D50" w:rsidRPr="00261D50" w:rsidRDefault="00261D50" w:rsidP="00261D50">
      <w:pPr>
        <w:spacing w:after="0"/>
        <w:ind w:right="237"/>
        <w:jc w:val="both"/>
        <w:rPr>
          <w:sz w:val="24"/>
          <w:szCs w:val="24"/>
        </w:rPr>
      </w:pPr>
    </w:p>
    <w:p w:rsidR="00261D50" w:rsidRPr="00261D50" w:rsidRDefault="00261D50" w:rsidP="00261D50">
      <w:pPr>
        <w:ind w:right="237"/>
        <w:jc w:val="both"/>
        <w:rPr>
          <w:color w:val="FF0000"/>
          <w:sz w:val="24"/>
          <w:szCs w:val="24"/>
        </w:rPr>
      </w:pPr>
      <w:r w:rsidRPr="00261D50">
        <w:rPr>
          <w:noProof/>
          <w:color w:val="FF0000"/>
          <w:sz w:val="24"/>
          <w:szCs w:val="24"/>
          <w:lang w:eastAsia="mk-MK"/>
        </w:rPr>
        <w:drawing>
          <wp:inline distT="0" distB="0" distL="0" distR="0" wp14:anchorId="5000CF5C" wp14:editId="4A1FD42A">
            <wp:extent cx="5905500" cy="32861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1D50" w:rsidRPr="00084239" w:rsidRDefault="00261D50" w:rsidP="00084239">
      <w:pPr>
        <w:ind w:right="237"/>
        <w:jc w:val="both"/>
        <w:rPr>
          <w:b/>
          <w:sz w:val="24"/>
          <w:szCs w:val="24"/>
          <w:u w:val="single"/>
        </w:rPr>
      </w:pPr>
    </w:p>
    <w:p w:rsidR="00CE5DED" w:rsidRDefault="00CE5DED" w:rsidP="00395303">
      <w:pPr>
        <w:spacing w:after="0"/>
        <w:ind w:right="237"/>
        <w:jc w:val="center"/>
        <w:rPr>
          <w:rFonts w:ascii="Calibri" w:eastAsia="Times New Roman" w:hAnsi="Calibri" w:cs="Times New Roman"/>
          <w:i/>
          <w:sz w:val="24"/>
          <w:szCs w:val="24"/>
          <w:lang w:eastAsia="mk-MK"/>
        </w:rPr>
      </w:pPr>
      <w:r w:rsidRPr="00CE5DED">
        <w:rPr>
          <w:rFonts w:ascii="Calibri" w:eastAsia="Times New Roman" w:hAnsi="Calibri" w:cs="Times New Roman"/>
          <w:i/>
          <w:sz w:val="24"/>
          <w:szCs w:val="24"/>
          <w:lang w:eastAsia="mk-MK"/>
        </w:rPr>
        <w:t xml:space="preserve">Слика 22: Обем по вид на пратка обезбедени во внатрешен и меѓународен сообраќај кај даватели на поштенски услуги на слободниот поштенски пазар </w:t>
      </w:r>
      <w:r w:rsidRPr="00CE5DED">
        <w:rPr>
          <w:rFonts w:ascii="Calibri" w:eastAsia="Times New Roman" w:hAnsi="Calibri" w:cs="Times New Roman"/>
          <w:i/>
          <w:sz w:val="24"/>
          <w:szCs w:val="24"/>
          <w:lang w:val="en-US" w:eastAsia="mk-MK"/>
        </w:rPr>
        <w:t>- 201</w:t>
      </w:r>
      <w:r>
        <w:rPr>
          <w:rFonts w:ascii="Calibri" w:eastAsia="Times New Roman" w:hAnsi="Calibri" w:cs="Times New Roman"/>
          <w:i/>
          <w:sz w:val="24"/>
          <w:szCs w:val="24"/>
          <w:lang w:eastAsia="mk-MK"/>
        </w:rPr>
        <w:t>4</w:t>
      </w:r>
      <w:r w:rsidRPr="00CE5DED">
        <w:rPr>
          <w:rFonts w:ascii="Calibri" w:eastAsia="Times New Roman" w:hAnsi="Calibri" w:cs="Times New Roman"/>
          <w:i/>
          <w:sz w:val="24"/>
          <w:szCs w:val="24"/>
          <w:lang w:val="en-US" w:eastAsia="mk-MK"/>
        </w:rPr>
        <w:t xml:space="preserve"> година</w:t>
      </w:r>
    </w:p>
    <w:p w:rsidR="00CE5DED" w:rsidRPr="00CE5DED" w:rsidRDefault="00CE5DED" w:rsidP="00CE5DED">
      <w:pPr>
        <w:spacing w:after="0"/>
        <w:ind w:right="237"/>
        <w:jc w:val="both"/>
        <w:rPr>
          <w:rFonts w:ascii="Calibri" w:eastAsia="Times New Roman" w:hAnsi="Calibri" w:cs="Times New Roman"/>
          <w:i/>
          <w:sz w:val="24"/>
          <w:szCs w:val="24"/>
          <w:lang w:eastAsia="mk-MK"/>
        </w:rPr>
      </w:pPr>
    </w:p>
    <w:tbl>
      <w:tblPr>
        <w:tblStyle w:val="TableGrid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80"/>
        <w:gridCol w:w="3081"/>
        <w:gridCol w:w="3081"/>
      </w:tblGrid>
      <w:tr w:rsidR="00CE5DED" w:rsidRPr="00CE5DED" w:rsidTr="00395303">
        <w:trPr>
          <w:jc w:val="center"/>
        </w:trPr>
        <w:tc>
          <w:tcPr>
            <w:tcW w:w="3080" w:type="dxa"/>
            <w:shd w:val="clear" w:color="auto" w:fill="DA105D"/>
          </w:tcPr>
          <w:p w:rsidR="00CE5DED" w:rsidRPr="00CE5DED" w:rsidRDefault="00CE5DED" w:rsidP="00CE5DED">
            <w:pPr>
              <w:ind w:right="237"/>
              <w:rPr>
                <w:color w:val="FFFFFF" w:themeColor="background1"/>
                <w:sz w:val="28"/>
                <w:szCs w:val="28"/>
              </w:rPr>
            </w:pPr>
            <w:r w:rsidRPr="00CE5DED">
              <w:rPr>
                <w:color w:val="FFFFFF" w:themeColor="background1"/>
                <w:sz w:val="28"/>
                <w:szCs w:val="28"/>
              </w:rPr>
              <w:t>Вид на пратка</w:t>
            </w:r>
          </w:p>
        </w:tc>
        <w:tc>
          <w:tcPr>
            <w:tcW w:w="3081" w:type="dxa"/>
            <w:shd w:val="clear" w:color="auto" w:fill="DA105D"/>
            <w:vAlign w:val="center"/>
          </w:tcPr>
          <w:p w:rsidR="00CE5DED" w:rsidRPr="00CE5DED" w:rsidRDefault="00CE5DED" w:rsidP="00CE5DED">
            <w:pPr>
              <w:ind w:right="237"/>
              <w:jc w:val="center"/>
              <w:rPr>
                <w:color w:val="FFFFFF" w:themeColor="background1"/>
                <w:sz w:val="28"/>
                <w:szCs w:val="28"/>
              </w:rPr>
            </w:pPr>
            <w:r w:rsidRPr="00CE5DED">
              <w:rPr>
                <w:color w:val="FFFFFF" w:themeColor="background1"/>
                <w:sz w:val="28"/>
                <w:szCs w:val="28"/>
              </w:rPr>
              <w:t>Внатрешен сообраќај</w:t>
            </w:r>
          </w:p>
        </w:tc>
        <w:tc>
          <w:tcPr>
            <w:tcW w:w="3081" w:type="dxa"/>
            <w:shd w:val="clear" w:color="auto" w:fill="DA105D"/>
            <w:vAlign w:val="center"/>
          </w:tcPr>
          <w:p w:rsidR="00CE5DED" w:rsidRPr="00CE5DED" w:rsidRDefault="00CE5DED" w:rsidP="00CE5DED">
            <w:pPr>
              <w:ind w:right="237"/>
              <w:jc w:val="center"/>
              <w:rPr>
                <w:color w:val="FFFFFF" w:themeColor="background1"/>
                <w:sz w:val="28"/>
                <w:szCs w:val="28"/>
              </w:rPr>
            </w:pPr>
            <w:r w:rsidRPr="00CE5DED">
              <w:rPr>
                <w:color w:val="FFFFFF" w:themeColor="background1"/>
                <w:sz w:val="28"/>
                <w:szCs w:val="28"/>
              </w:rPr>
              <w:t>Меѓународен сообраќај</w:t>
            </w:r>
          </w:p>
        </w:tc>
      </w:tr>
      <w:tr w:rsidR="00CE5DED" w:rsidRPr="00CE5DED" w:rsidTr="00395303">
        <w:trPr>
          <w:jc w:val="center"/>
        </w:trPr>
        <w:tc>
          <w:tcPr>
            <w:tcW w:w="3080" w:type="dxa"/>
          </w:tcPr>
          <w:p w:rsidR="00CE5DED" w:rsidRPr="00CE5DED" w:rsidRDefault="00CE5DED" w:rsidP="00CE5DED">
            <w:pPr>
              <w:ind w:right="237"/>
              <w:rPr>
                <w:sz w:val="28"/>
                <w:szCs w:val="28"/>
              </w:rPr>
            </w:pPr>
            <w:r w:rsidRPr="00CE5DED">
              <w:rPr>
                <w:sz w:val="28"/>
                <w:szCs w:val="28"/>
              </w:rPr>
              <w:t>Пратки за коресподенција</w:t>
            </w:r>
          </w:p>
        </w:tc>
        <w:tc>
          <w:tcPr>
            <w:tcW w:w="3081" w:type="dxa"/>
            <w:vAlign w:val="center"/>
          </w:tcPr>
          <w:p w:rsidR="00CE5DED" w:rsidRPr="00CE5DED" w:rsidRDefault="002D6234" w:rsidP="00CE5DED">
            <w:pPr>
              <w:ind w:right="237"/>
              <w:jc w:val="center"/>
              <w:rPr>
                <w:sz w:val="28"/>
                <w:szCs w:val="28"/>
              </w:rPr>
            </w:pPr>
            <w:r>
              <w:rPr>
                <w:sz w:val="28"/>
                <w:szCs w:val="28"/>
              </w:rPr>
              <w:t>874,112</w:t>
            </w:r>
          </w:p>
        </w:tc>
        <w:tc>
          <w:tcPr>
            <w:tcW w:w="3081" w:type="dxa"/>
            <w:vAlign w:val="center"/>
          </w:tcPr>
          <w:p w:rsidR="00CE5DED" w:rsidRPr="00CE5DED" w:rsidRDefault="002D6234" w:rsidP="00CE5DED">
            <w:pPr>
              <w:ind w:right="237"/>
              <w:jc w:val="center"/>
              <w:rPr>
                <w:sz w:val="28"/>
                <w:szCs w:val="28"/>
              </w:rPr>
            </w:pPr>
            <w:r>
              <w:rPr>
                <w:sz w:val="28"/>
                <w:szCs w:val="28"/>
              </w:rPr>
              <w:t>34,676</w:t>
            </w:r>
          </w:p>
        </w:tc>
      </w:tr>
      <w:tr w:rsidR="00CE5DED" w:rsidRPr="00CE5DED" w:rsidTr="00395303">
        <w:trPr>
          <w:jc w:val="center"/>
        </w:trPr>
        <w:tc>
          <w:tcPr>
            <w:tcW w:w="3080" w:type="dxa"/>
          </w:tcPr>
          <w:p w:rsidR="00CE5DED" w:rsidRPr="00CE5DED" w:rsidRDefault="00CE5DED" w:rsidP="00CE5DED">
            <w:pPr>
              <w:ind w:right="237"/>
              <w:rPr>
                <w:sz w:val="28"/>
                <w:szCs w:val="28"/>
              </w:rPr>
            </w:pPr>
            <w:r w:rsidRPr="00CE5DED">
              <w:rPr>
                <w:sz w:val="28"/>
                <w:szCs w:val="28"/>
              </w:rPr>
              <w:t>Пакети</w:t>
            </w:r>
          </w:p>
        </w:tc>
        <w:tc>
          <w:tcPr>
            <w:tcW w:w="3081" w:type="dxa"/>
            <w:vAlign w:val="center"/>
          </w:tcPr>
          <w:p w:rsidR="00CE5DED" w:rsidRPr="00CE5DED" w:rsidRDefault="002D6234" w:rsidP="00CE5DED">
            <w:pPr>
              <w:ind w:right="237"/>
              <w:jc w:val="center"/>
              <w:rPr>
                <w:sz w:val="28"/>
                <w:szCs w:val="28"/>
              </w:rPr>
            </w:pPr>
            <w:r w:rsidRPr="00481315">
              <w:rPr>
                <w:sz w:val="32"/>
                <w:szCs w:val="28"/>
              </w:rPr>
              <w:t>926,948</w:t>
            </w:r>
          </w:p>
        </w:tc>
        <w:tc>
          <w:tcPr>
            <w:tcW w:w="3081" w:type="dxa"/>
            <w:vAlign w:val="center"/>
          </w:tcPr>
          <w:p w:rsidR="00CE5DED" w:rsidRPr="00CE5DED" w:rsidRDefault="002D6234" w:rsidP="00CE5DED">
            <w:pPr>
              <w:ind w:right="237"/>
              <w:jc w:val="center"/>
              <w:rPr>
                <w:sz w:val="28"/>
                <w:szCs w:val="28"/>
              </w:rPr>
            </w:pPr>
            <w:r>
              <w:rPr>
                <w:sz w:val="28"/>
                <w:szCs w:val="28"/>
              </w:rPr>
              <w:t>39,235</w:t>
            </w:r>
          </w:p>
        </w:tc>
      </w:tr>
      <w:tr w:rsidR="00CE5DED" w:rsidRPr="00CE5DED" w:rsidTr="00395303">
        <w:trPr>
          <w:jc w:val="center"/>
        </w:trPr>
        <w:tc>
          <w:tcPr>
            <w:tcW w:w="3080" w:type="dxa"/>
          </w:tcPr>
          <w:p w:rsidR="00CE5DED" w:rsidRPr="00CE5DED" w:rsidRDefault="00CE5DED" w:rsidP="00CE5DED">
            <w:pPr>
              <w:ind w:right="237"/>
              <w:rPr>
                <w:sz w:val="28"/>
                <w:szCs w:val="28"/>
              </w:rPr>
            </w:pPr>
            <w:r w:rsidRPr="00CE5DED">
              <w:rPr>
                <w:sz w:val="28"/>
                <w:szCs w:val="28"/>
              </w:rPr>
              <w:t>Печатени работи</w:t>
            </w:r>
          </w:p>
        </w:tc>
        <w:tc>
          <w:tcPr>
            <w:tcW w:w="3081" w:type="dxa"/>
            <w:vAlign w:val="center"/>
          </w:tcPr>
          <w:p w:rsidR="00CE5DED" w:rsidRPr="00CE5DED" w:rsidRDefault="00DC6398" w:rsidP="00CE5DED">
            <w:pPr>
              <w:ind w:right="237"/>
              <w:jc w:val="center"/>
              <w:rPr>
                <w:sz w:val="28"/>
                <w:szCs w:val="28"/>
              </w:rPr>
            </w:pPr>
            <w:r>
              <w:rPr>
                <w:sz w:val="28"/>
                <w:szCs w:val="28"/>
              </w:rPr>
              <w:t>35,620</w:t>
            </w:r>
          </w:p>
        </w:tc>
        <w:tc>
          <w:tcPr>
            <w:tcW w:w="3081" w:type="dxa"/>
            <w:vAlign w:val="center"/>
          </w:tcPr>
          <w:p w:rsidR="00CE5DED" w:rsidRPr="00CE5DED" w:rsidRDefault="00DC6398" w:rsidP="00CE5DED">
            <w:pPr>
              <w:ind w:right="237"/>
              <w:jc w:val="center"/>
              <w:rPr>
                <w:sz w:val="28"/>
                <w:szCs w:val="28"/>
              </w:rPr>
            </w:pPr>
            <w:r>
              <w:rPr>
                <w:sz w:val="28"/>
                <w:szCs w:val="28"/>
              </w:rPr>
              <w:t>0</w:t>
            </w:r>
          </w:p>
        </w:tc>
      </w:tr>
    </w:tbl>
    <w:p w:rsidR="00CE5DED" w:rsidRPr="00CE5DED" w:rsidRDefault="00CE5DED" w:rsidP="00CE5DED">
      <w:pPr>
        <w:spacing w:after="0"/>
        <w:ind w:right="237"/>
        <w:jc w:val="both"/>
        <w:rPr>
          <w:rFonts w:ascii="Calibri" w:eastAsia="Times New Roman" w:hAnsi="Calibri" w:cs="Times New Roman"/>
          <w:i/>
          <w:sz w:val="24"/>
          <w:szCs w:val="24"/>
          <w:lang w:eastAsia="mk-MK"/>
        </w:rPr>
      </w:pPr>
    </w:p>
    <w:p w:rsidR="00CE5DED" w:rsidRPr="00CE5DED" w:rsidRDefault="00CE5DED" w:rsidP="00CE5DED">
      <w:pPr>
        <w:spacing w:after="0"/>
        <w:ind w:right="237"/>
        <w:jc w:val="both"/>
        <w:rPr>
          <w:sz w:val="24"/>
          <w:szCs w:val="24"/>
        </w:rPr>
      </w:pPr>
    </w:p>
    <w:p w:rsidR="00395303" w:rsidRDefault="00395303" w:rsidP="00114D71">
      <w:pPr>
        <w:spacing w:after="0"/>
        <w:ind w:right="237"/>
        <w:jc w:val="both"/>
        <w:rPr>
          <w:rFonts w:ascii="Calibri" w:eastAsia="Times New Roman" w:hAnsi="Calibri" w:cs="Times New Roman"/>
          <w:i/>
          <w:sz w:val="24"/>
          <w:szCs w:val="24"/>
          <w:lang w:eastAsia="mk-MK"/>
        </w:rPr>
      </w:pPr>
    </w:p>
    <w:p w:rsidR="00395303" w:rsidRDefault="00395303" w:rsidP="00114D71">
      <w:pPr>
        <w:spacing w:after="0"/>
        <w:ind w:right="237"/>
        <w:jc w:val="both"/>
        <w:rPr>
          <w:rFonts w:ascii="Calibri" w:eastAsia="Times New Roman" w:hAnsi="Calibri" w:cs="Times New Roman"/>
          <w:i/>
          <w:sz w:val="24"/>
          <w:szCs w:val="24"/>
          <w:lang w:eastAsia="mk-MK"/>
        </w:rPr>
      </w:pPr>
    </w:p>
    <w:p w:rsidR="00395303" w:rsidRDefault="00395303" w:rsidP="00114D71">
      <w:pPr>
        <w:spacing w:after="0"/>
        <w:ind w:right="237"/>
        <w:jc w:val="both"/>
        <w:rPr>
          <w:rFonts w:ascii="Calibri" w:eastAsia="Times New Roman" w:hAnsi="Calibri" w:cs="Times New Roman"/>
          <w:i/>
          <w:sz w:val="24"/>
          <w:szCs w:val="24"/>
          <w:lang w:eastAsia="mk-MK"/>
        </w:rPr>
      </w:pPr>
    </w:p>
    <w:p w:rsidR="00395303" w:rsidRDefault="00395303" w:rsidP="00114D71">
      <w:pPr>
        <w:spacing w:after="0"/>
        <w:ind w:right="237"/>
        <w:jc w:val="both"/>
        <w:rPr>
          <w:rFonts w:ascii="Calibri" w:eastAsia="Times New Roman" w:hAnsi="Calibri" w:cs="Times New Roman"/>
          <w:i/>
          <w:sz w:val="24"/>
          <w:szCs w:val="24"/>
          <w:lang w:eastAsia="mk-MK"/>
        </w:rPr>
      </w:pPr>
    </w:p>
    <w:p w:rsidR="00395303" w:rsidRDefault="00395303" w:rsidP="00114D71">
      <w:pPr>
        <w:spacing w:after="0"/>
        <w:ind w:right="237"/>
        <w:jc w:val="both"/>
        <w:rPr>
          <w:rFonts w:ascii="Calibri" w:eastAsia="Times New Roman" w:hAnsi="Calibri" w:cs="Times New Roman"/>
          <w:i/>
          <w:sz w:val="24"/>
          <w:szCs w:val="24"/>
          <w:lang w:eastAsia="mk-MK"/>
        </w:rPr>
      </w:pPr>
    </w:p>
    <w:p w:rsidR="00114D71" w:rsidRPr="00114D71" w:rsidRDefault="00114D71" w:rsidP="00395303">
      <w:pPr>
        <w:spacing w:after="0"/>
        <w:ind w:right="237"/>
        <w:jc w:val="center"/>
        <w:rPr>
          <w:rFonts w:ascii="Calibri" w:eastAsia="Times New Roman" w:hAnsi="Calibri" w:cs="Times New Roman"/>
          <w:i/>
          <w:sz w:val="24"/>
          <w:szCs w:val="24"/>
          <w:lang w:eastAsia="mk-MK"/>
        </w:rPr>
      </w:pPr>
      <w:r w:rsidRPr="00114D71">
        <w:rPr>
          <w:rFonts w:ascii="Calibri" w:eastAsia="Times New Roman" w:hAnsi="Calibri" w:cs="Times New Roman"/>
          <w:i/>
          <w:sz w:val="24"/>
          <w:szCs w:val="24"/>
          <w:lang w:eastAsia="mk-MK"/>
        </w:rPr>
        <w:t xml:space="preserve">Слика 23: Остварен сообраќај кај даватели на поштенски услуги на слободниот поштенски пазар </w:t>
      </w:r>
      <w:r w:rsidRPr="00114D71">
        <w:rPr>
          <w:rFonts w:ascii="Calibri" w:eastAsia="Times New Roman" w:hAnsi="Calibri" w:cs="Times New Roman"/>
          <w:i/>
          <w:sz w:val="24"/>
          <w:szCs w:val="24"/>
          <w:lang w:val="en-US" w:eastAsia="mk-MK"/>
        </w:rPr>
        <w:t>- 201</w:t>
      </w:r>
      <w:r>
        <w:rPr>
          <w:rFonts w:ascii="Calibri" w:eastAsia="Times New Roman" w:hAnsi="Calibri" w:cs="Times New Roman"/>
          <w:i/>
          <w:sz w:val="24"/>
          <w:szCs w:val="24"/>
          <w:lang w:eastAsia="mk-MK"/>
        </w:rPr>
        <w:t>4</w:t>
      </w:r>
      <w:r w:rsidRPr="00114D71">
        <w:rPr>
          <w:rFonts w:ascii="Calibri" w:eastAsia="Times New Roman" w:hAnsi="Calibri" w:cs="Times New Roman"/>
          <w:i/>
          <w:sz w:val="24"/>
          <w:szCs w:val="24"/>
          <w:lang w:val="en-US" w:eastAsia="mk-MK"/>
        </w:rPr>
        <w:t xml:space="preserve"> година</w:t>
      </w:r>
    </w:p>
    <w:p w:rsidR="00114D71" w:rsidRPr="00114D71" w:rsidRDefault="00114D71" w:rsidP="00114D71">
      <w:pPr>
        <w:spacing w:after="0"/>
        <w:ind w:right="237"/>
        <w:jc w:val="both"/>
        <w:rPr>
          <w:sz w:val="24"/>
          <w:szCs w:val="24"/>
        </w:rPr>
      </w:pPr>
    </w:p>
    <w:p w:rsidR="00114D71" w:rsidRPr="00114D71" w:rsidRDefault="00114D71" w:rsidP="00114D71">
      <w:pPr>
        <w:ind w:right="237"/>
        <w:rPr>
          <w:color w:val="FF0000"/>
          <w:sz w:val="24"/>
          <w:szCs w:val="24"/>
        </w:rPr>
      </w:pPr>
      <w:r w:rsidRPr="00114D71">
        <w:rPr>
          <w:noProof/>
          <w:lang w:eastAsia="mk-MK"/>
        </w:rPr>
        <w:drawing>
          <wp:inline distT="0" distB="0" distL="0" distR="0" wp14:anchorId="1C5522BA" wp14:editId="0921EC60">
            <wp:extent cx="5953125" cy="30956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4239" w:rsidRPr="00084239" w:rsidRDefault="00084239" w:rsidP="00084239">
      <w:pPr>
        <w:rPr>
          <w:sz w:val="32"/>
          <w:szCs w:val="32"/>
        </w:rPr>
      </w:pPr>
    </w:p>
    <w:p w:rsidR="00B74AFE" w:rsidRPr="00B74AFE" w:rsidRDefault="00B74AFE" w:rsidP="00395303">
      <w:pPr>
        <w:spacing w:after="0"/>
        <w:jc w:val="center"/>
        <w:rPr>
          <w:i/>
          <w:sz w:val="24"/>
          <w:szCs w:val="24"/>
        </w:rPr>
      </w:pPr>
      <w:r w:rsidRPr="00B74AFE">
        <w:rPr>
          <w:rFonts w:ascii="Calibri" w:eastAsia="Times New Roman" w:hAnsi="Calibri" w:cs="Times New Roman"/>
          <w:i/>
          <w:sz w:val="24"/>
          <w:szCs w:val="24"/>
          <w:lang w:eastAsia="mk-MK"/>
        </w:rPr>
        <w:t xml:space="preserve">Слика 24: </w:t>
      </w:r>
      <w:r w:rsidRPr="00B74AFE">
        <w:rPr>
          <w:i/>
          <w:sz w:val="24"/>
          <w:szCs w:val="24"/>
        </w:rPr>
        <w:t xml:space="preserve">Сообраќај по вид на пратки во меѓународен и  внатрешен сообраќај кај </w:t>
      </w:r>
      <w:r w:rsidRPr="00B74AFE">
        <w:rPr>
          <w:rFonts w:ascii="Calibri" w:eastAsia="Times New Roman" w:hAnsi="Calibri" w:cs="Times New Roman"/>
          <w:i/>
          <w:sz w:val="24"/>
          <w:szCs w:val="24"/>
          <w:lang w:eastAsia="mk-MK"/>
        </w:rPr>
        <w:t xml:space="preserve">даватели на поштенски услуги на слободниот поштенски пазар </w:t>
      </w:r>
      <w:r w:rsidRPr="00B74AFE">
        <w:rPr>
          <w:rFonts w:ascii="Calibri" w:eastAsia="Times New Roman" w:hAnsi="Calibri" w:cs="Times New Roman"/>
          <w:i/>
          <w:sz w:val="24"/>
          <w:szCs w:val="24"/>
          <w:lang w:val="en-US" w:eastAsia="mk-MK"/>
        </w:rPr>
        <w:t>- 201</w:t>
      </w:r>
      <w:r>
        <w:rPr>
          <w:rFonts w:ascii="Calibri" w:eastAsia="Times New Roman" w:hAnsi="Calibri" w:cs="Times New Roman"/>
          <w:i/>
          <w:sz w:val="24"/>
          <w:szCs w:val="24"/>
          <w:lang w:eastAsia="mk-MK"/>
        </w:rPr>
        <w:t>4</w:t>
      </w:r>
      <w:r w:rsidRPr="00B74AFE">
        <w:rPr>
          <w:rFonts w:ascii="Calibri" w:eastAsia="Times New Roman" w:hAnsi="Calibri" w:cs="Times New Roman"/>
          <w:i/>
          <w:sz w:val="24"/>
          <w:szCs w:val="24"/>
          <w:lang w:val="en-US" w:eastAsia="mk-MK"/>
        </w:rPr>
        <w:t xml:space="preserve"> година</w:t>
      </w:r>
    </w:p>
    <w:p w:rsidR="00B74AFE" w:rsidRPr="00B74AFE" w:rsidRDefault="00B74AFE" w:rsidP="00B74AFE">
      <w:pPr>
        <w:spacing w:after="0"/>
        <w:jc w:val="both"/>
        <w:rPr>
          <w:sz w:val="24"/>
          <w:szCs w:val="24"/>
        </w:rPr>
      </w:pPr>
    </w:p>
    <w:p w:rsidR="00B74AFE" w:rsidRPr="00B74AFE" w:rsidRDefault="00B74AFE" w:rsidP="00B74AFE">
      <w:pPr>
        <w:ind w:right="237"/>
        <w:rPr>
          <w:sz w:val="24"/>
          <w:szCs w:val="24"/>
        </w:rPr>
      </w:pPr>
      <w:r w:rsidRPr="00B74AFE">
        <w:rPr>
          <w:noProof/>
          <w:lang w:eastAsia="mk-MK"/>
        </w:rPr>
        <w:drawing>
          <wp:inline distT="0" distB="0" distL="0" distR="0" wp14:anchorId="3E11BE84" wp14:editId="49C6AFE2">
            <wp:extent cx="6019800" cy="36671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4239" w:rsidRDefault="00084239" w:rsidP="00084239">
      <w:pPr>
        <w:tabs>
          <w:tab w:val="left" w:pos="1260"/>
        </w:tabs>
        <w:rPr>
          <w:sz w:val="32"/>
          <w:szCs w:val="32"/>
        </w:rPr>
      </w:pPr>
    </w:p>
    <w:p w:rsidR="00401F06" w:rsidRDefault="00401F06" w:rsidP="00395303">
      <w:pPr>
        <w:tabs>
          <w:tab w:val="left" w:pos="1327"/>
        </w:tabs>
        <w:ind w:right="237" w:firstLine="851"/>
        <w:jc w:val="both"/>
        <w:rPr>
          <w:sz w:val="24"/>
          <w:szCs w:val="24"/>
        </w:rPr>
      </w:pPr>
      <w:r w:rsidRPr="00401F06">
        <w:rPr>
          <w:sz w:val="24"/>
          <w:szCs w:val="24"/>
        </w:rPr>
        <w:t xml:space="preserve">Во внатрешниот сообраќај давателите на слободниот пазар најмногу обезбедуваат пратки за коресподенција во процент од </w:t>
      </w:r>
      <w:r>
        <w:rPr>
          <w:sz w:val="24"/>
          <w:szCs w:val="24"/>
        </w:rPr>
        <w:t>48</w:t>
      </w:r>
      <w:r w:rsidRPr="00401F06">
        <w:rPr>
          <w:sz w:val="24"/>
          <w:szCs w:val="24"/>
        </w:rPr>
        <w:t xml:space="preserve"> %</w:t>
      </w:r>
      <w:r w:rsidR="00613387">
        <w:rPr>
          <w:sz w:val="24"/>
          <w:szCs w:val="24"/>
        </w:rPr>
        <w:t>,</w:t>
      </w:r>
      <w:r w:rsidRPr="00401F06">
        <w:rPr>
          <w:sz w:val="24"/>
          <w:szCs w:val="24"/>
        </w:rPr>
        <w:t xml:space="preserve"> пакети во процент од </w:t>
      </w:r>
      <w:r>
        <w:rPr>
          <w:sz w:val="24"/>
          <w:szCs w:val="24"/>
        </w:rPr>
        <w:t>50</w:t>
      </w:r>
      <w:r w:rsidRPr="00401F06">
        <w:rPr>
          <w:sz w:val="24"/>
          <w:szCs w:val="24"/>
        </w:rPr>
        <w:t xml:space="preserve"> % и директна пошта од </w:t>
      </w:r>
      <w:r>
        <w:rPr>
          <w:sz w:val="24"/>
          <w:szCs w:val="24"/>
        </w:rPr>
        <w:t>2 %.</w:t>
      </w:r>
    </w:p>
    <w:p w:rsidR="00395303" w:rsidRDefault="00395303" w:rsidP="00395303">
      <w:pPr>
        <w:tabs>
          <w:tab w:val="left" w:pos="1327"/>
        </w:tabs>
        <w:ind w:right="237" w:firstLine="851"/>
        <w:jc w:val="both"/>
        <w:rPr>
          <w:sz w:val="24"/>
          <w:szCs w:val="24"/>
        </w:rPr>
      </w:pPr>
    </w:p>
    <w:p w:rsidR="00C11E2B" w:rsidRDefault="00C11E2B" w:rsidP="00395303">
      <w:pPr>
        <w:spacing w:after="0"/>
        <w:ind w:right="237"/>
        <w:jc w:val="center"/>
        <w:rPr>
          <w:i/>
          <w:sz w:val="24"/>
          <w:szCs w:val="24"/>
        </w:rPr>
      </w:pPr>
      <w:r w:rsidRPr="00C11E2B">
        <w:rPr>
          <w:rFonts w:ascii="Calibri" w:eastAsia="Times New Roman" w:hAnsi="Calibri" w:cs="Times New Roman"/>
          <w:i/>
          <w:sz w:val="24"/>
          <w:szCs w:val="24"/>
          <w:lang w:eastAsia="mk-MK"/>
        </w:rPr>
        <w:t xml:space="preserve">Слика 25: </w:t>
      </w:r>
      <w:r w:rsidRPr="00C11E2B">
        <w:rPr>
          <w:rFonts w:ascii="Calibri" w:eastAsia="Calibri" w:hAnsi="Calibri" w:cs="Times New Roman"/>
          <w:sz w:val="24"/>
          <w:szCs w:val="24"/>
        </w:rPr>
        <w:t>Остварени поштенски пратки во Република Македонија</w:t>
      </w:r>
      <w:r w:rsidRPr="00C11E2B">
        <w:rPr>
          <w:i/>
          <w:sz w:val="24"/>
          <w:szCs w:val="24"/>
        </w:rPr>
        <w:t xml:space="preserve"> по глава на жител</w:t>
      </w:r>
      <w:r w:rsidRPr="00C11E2B">
        <w:rPr>
          <w:rFonts w:ascii="Calibri" w:eastAsia="Times New Roman" w:hAnsi="Calibri" w:cs="Times New Roman"/>
          <w:i/>
          <w:sz w:val="24"/>
          <w:szCs w:val="24"/>
          <w:lang w:val="en-US" w:eastAsia="mk-MK"/>
        </w:rPr>
        <w:t>- 201</w:t>
      </w:r>
      <w:r>
        <w:rPr>
          <w:rFonts w:ascii="Calibri" w:eastAsia="Times New Roman" w:hAnsi="Calibri" w:cs="Times New Roman"/>
          <w:i/>
          <w:sz w:val="24"/>
          <w:szCs w:val="24"/>
          <w:lang w:eastAsia="mk-MK"/>
        </w:rPr>
        <w:t>4</w:t>
      </w:r>
      <w:r w:rsidRPr="00C11E2B">
        <w:rPr>
          <w:rFonts w:ascii="Calibri" w:eastAsia="Times New Roman" w:hAnsi="Calibri" w:cs="Times New Roman"/>
          <w:i/>
          <w:sz w:val="24"/>
          <w:szCs w:val="24"/>
          <w:lang w:val="en-US" w:eastAsia="mk-MK"/>
        </w:rPr>
        <w:t xml:space="preserve"> година</w:t>
      </w:r>
    </w:p>
    <w:tbl>
      <w:tblPr>
        <w:tblStyle w:val="TableGrid41"/>
        <w:tblpPr w:leftFromText="180" w:rightFromText="180" w:vertAnchor="text" w:horzAnchor="margin" w:tblpY="213"/>
        <w:tblOverlap w:val="never"/>
        <w:tblW w:w="9464" w:type="dxa"/>
        <w:tblBorders>
          <w:left w:val="single" w:sz="4" w:space="0" w:color="000000" w:themeColor="text1"/>
          <w:bottom w:val="single" w:sz="4" w:space="0" w:color="8064A2" w:themeColor="accent4"/>
          <w:right w:val="single" w:sz="4" w:space="0" w:color="000000" w:themeColor="text1"/>
          <w:insideV w:val="single" w:sz="4" w:space="0" w:color="000000" w:themeColor="text1"/>
        </w:tblBorders>
        <w:tblLook w:val="04A0" w:firstRow="1" w:lastRow="0" w:firstColumn="1" w:lastColumn="0" w:noHBand="0" w:noVBand="1"/>
      </w:tblPr>
      <w:tblGrid>
        <w:gridCol w:w="2912"/>
        <w:gridCol w:w="1165"/>
        <w:gridCol w:w="1134"/>
        <w:gridCol w:w="1134"/>
        <w:gridCol w:w="1134"/>
        <w:gridCol w:w="993"/>
        <w:gridCol w:w="992"/>
      </w:tblGrid>
      <w:tr w:rsidR="00C11E2B" w:rsidRPr="00C11E2B" w:rsidTr="00C11E2B">
        <w:trPr>
          <w:trHeight w:val="1554"/>
        </w:trPr>
        <w:tc>
          <w:tcPr>
            <w:tcW w:w="2912" w:type="dxa"/>
            <w:tcBorders>
              <w:bottom w:val="single" w:sz="4" w:space="0" w:color="auto"/>
            </w:tcBorders>
            <w:shd w:val="clear" w:color="auto" w:fill="DA105D"/>
            <w:vAlign w:val="center"/>
          </w:tcPr>
          <w:p w:rsidR="00C11E2B" w:rsidRPr="00C11E2B" w:rsidRDefault="00C11E2B" w:rsidP="00C11E2B">
            <w:pPr>
              <w:ind w:right="237"/>
              <w:rPr>
                <w:rFonts w:ascii="Calibri" w:eastAsia="Calibri" w:hAnsi="Calibri" w:cs="Times New Roman"/>
                <w:b/>
                <w:color w:val="FFFFFF"/>
                <w:sz w:val="24"/>
                <w:szCs w:val="24"/>
              </w:rPr>
            </w:pPr>
          </w:p>
        </w:tc>
        <w:tc>
          <w:tcPr>
            <w:tcW w:w="1165" w:type="dxa"/>
            <w:tcBorders>
              <w:bottom w:val="single" w:sz="4" w:space="0" w:color="auto"/>
            </w:tcBorders>
            <w:shd w:val="clear" w:color="auto" w:fill="DA105D"/>
            <w:vAlign w:val="center"/>
          </w:tcPr>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 xml:space="preserve">2009 </w:t>
            </w:r>
          </w:p>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год.</w:t>
            </w:r>
          </w:p>
        </w:tc>
        <w:tc>
          <w:tcPr>
            <w:tcW w:w="1134" w:type="dxa"/>
            <w:tcBorders>
              <w:bottom w:val="single" w:sz="4" w:space="0" w:color="auto"/>
            </w:tcBorders>
            <w:shd w:val="clear" w:color="auto" w:fill="DA105D"/>
            <w:vAlign w:val="center"/>
          </w:tcPr>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2010</w:t>
            </w:r>
          </w:p>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год.</w:t>
            </w:r>
          </w:p>
        </w:tc>
        <w:tc>
          <w:tcPr>
            <w:tcW w:w="1134" w:type="dxa"/>
            <w:tcBorders>
              <w:bottom w:val="single" w:sz="4" w:space="0" w:color="auto"/>
            </w:tcBorders>
            <w:shd w:val="clear" w:color="auto" w:fill="DA105D"/>
            <w:vAlign w:val="center"/>
          </w:tcPr>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201</w:t>
            </w:r>
            <w:r w:rsidRPr="00C11E2B">
              <w:rPr>
                <w:rFonts w:ascii="Calibri" w:eastAsia="Calibri" w:hAnsi="Calibri" w:cs="Times New Roman"/>
                <w:b/>
                <w:color w:val="FFFFFF"/>
                <w:lang w:val="en-US"/>
              </w:rPr>
              <w:t>1</w:t>
            </w:r>
          </w:p>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год.</w:t>
            </w:r>
          </w:p>
        </w:tc>
        <w:tc>
          <w:tcPr>
            <w:tcW w:w="1134" w:type="dxa"/>
            <w:tcBorders>
              <w:bottom w:val="single" w:sz="4" w:space="0" w:color="auto"/>
            </w:tcBorders>
            <w:shd w:val="clear" w:color="auto" w:fill="DA105D"/>
            <w:vAlign w:val="center"/>
          </w:tcPr>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2012</w:t>
            </w:r>
          </w:p>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 xml:space="preserve"> год.</w:t>
            </w:r>
          </w:p>
        </w:tc>
        <w:tc>
          <w:tcPr>
            <w:tcW w:w="993" w:type="dxa"/>
            <w:tcBorders>
              <w:bottom w:val="single" w:sz="4" w:space="0" w:color="auto"/>
            </w:tcBorders>
            <w:shd w:val="clear" w:color="auto" w:fill="DA105D"/>
            <w:vAlign w:val="center"/>
          </w:tcPr>
          <w:p w:rsidR="00C11E2B" w:rsidRPr="00C11E2B" w:rsidRDefault="00C11E2B" w:rsidP="00C11E2B">
            <w:pPr>
              <w:ind w:right="237"/>
              <w:rPr>
                <w:rFonts w:ascii="Calibri" w:eastAsia="Calibri" w:hAnsi="Calibri" w:cs="Times New Roman"/>
                <w:b/>
                <w:color w:val="FFFFFF"/>
              </w:rPr>
            </w:pPr>
            <w:r>
              <w:rPr>
                <w:rFonts w:ascii="Calibri" w:eastAsia="Calibri" w:hAnsi="Calibri" w:cs="Times New Roman"/>
                <w:b/>
                <w:color w:val="FFFFFF"/>
              </w:rPr>
              <w:t xml:space="preserve"> </w:t>
            </w:r>
            <w:r w:rsidRPr="00C11E2B">
              <w:rPr>
                <w:rFonts w:ascii="Calibri" w:eastAsia="Calibri" w:hAnsi="Calibri" w:cs="Times New Roman"/>
                <w:b/>
                <w:color w:val="FFFFFF"/>
              </w:rPr>
              <w:t>2013</w:t>
            </w:r>
          </w:p>
          <w:p w:rsidR="00C11E2B" w:rsidRPr="00C11E2B" w:rsidRDefault="00C11E2B" w:rsidP="00C11E2B">
            <w:pPr>
              <w:ind w:right="237"/>
              <w:jc w:val="center"/>
              <w:rPr>
                <w:rFonts w:ascii="Calibri" w:eastAsia="Calibri" w:hAnsi="Calibri" w:cs="Times New Roman"/>
                <w:b/>
                <w:color w:val="FFFFFF"/>
              </w:rPr>
            </w:pPr>
            <w:r w:rsidRPr="00C11E2B">
              <w:rPr>
                <w:rFonts w:ascii="Calibri" w:eastAsia="Calibri" w:hAnsi="Calibri" w:cs="Times New Roman"/>
                <w:b/>
                <w:color w:val="FFFFFF"/>
              </w:rPr>
              <w:t xml:space="preserve"> год.</w:t>
            </w:r>
          </w:p>
        </w:tc>
        <w:tc>
          <w:tcPr>
            <w:tcW w:w="992" w:type="dxa"/>
            <w:tcBorders>
              <w:bottom w:val="single" w:sz="4" w:space="0" w:color="auto"/>
            </w:tcBorders>
            <w:shd w:val="clear" w:color="auto" w:fill="DA105D"/>
            <w:vAlign w:val="center"/>
          </w:tcPr>
          <w:p w:rsidR="00C11E2B" w:rsidRPr="00C11E2B" w:rsidRDefault="00C11E2B" w:rsidP="00C11E2B">
            <w:pPr>
              <w:ind w:right="237"/>
              <w:rPr>
                <w:rFonts w:ascii="Calibri" w:eastAsia="Calibri" w:hAnsi="Calibri" w:cs="Times New Roman"/>
                <w:b/>
                <w:color w:val="FFFFFF"/>
              </w:rPr>
            </w:pPr>
            <w:r>
              <w:rPr>
                <w:rFonts w:ascii="Calibri" w:eastAsia="Calibri" w:hAnsi="Calibri" w:cs="Times New Roman"/>
                <w:b/>
                <w:color w:val="FFFFFF"/>
              </w:rPr>
              <w:t xml:space="preserve"> 2014        год.</w:t>
            </w:r>
          </w:p>
        </w:tc>
      </w:tr>
      <w:tr w:rsidR="00C11E2B" w:rsidRPr="00C11E2B" w:rsidTr="00C11E2B">
        <w:trPr>
          <w:trHeight w:val="972"/>
        </w:trPr>
        <w:tc>
          <w:tcPr>
            <w:tcW w:w="2912" w:type="dxa"/>
            <w:tcBorders>
              <w:bottom w:val="single" w:sz="4" w:space="0" w:color="000000" w:themeColor="text1"/>
            </w:tcBorders>
            <w:shd w:val="clear" w:color="auto" w:fill="auto"/>
            <w:vAlign w:val="center"/>
          </w:tcPr>
          <w:p w:rsidR="00C11E2B" w:rsidRPr="00C11E2B" w:rsidRDefault="00C11E2B" w:rsidP="00C11E2B">
            <w:pPr>
              <w:ind w:right="237"/>
              <w:rPr>
                <w:rFonts w:ascii="Calibri" w:eastAsia="Calibri" w:hAnsi="Calibri" w:cs="Times New Roman"/>
              </w:rPr>
            </w:pPr>
            <w:r w:rsidRPr="00C11E2B">
              <w:rPr>
                <w:rFonts w:ascii="Calibri" w:eastAsia="Calibri" w:hAnsi="Calibri" w:cs="Times New Roman"/>
              </w:rPr>
              <w:t>Број на пратки по глава на жител</w:t>
            </w:r>
          </w:p>
        </w:tc>
        <w:tc>
          <w:tcPr>
            <w:tcW w:w="1165"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sidRPr="00C11E2B">
              <w:rPr>
                <w:rFonts w:ascii="Calibri" w:eastAsia="Calibri" w:hAnsi="Calibri" w:cs="Times New Roman"/>
              </w:rPr>
              <w:t>28,5</w:t>
            </w:r>
          </w:p>
        </w:tc>
        <w:tc>
          <w:tcPr>
            <w:tcW w:w="1134"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sidRPr="00C11E2B">
              <w:rPr>
                <w:rFonts w:ascii="Calibri" w:eastAsia="Calibri" w:hAnsi="Calibri" w:cs="Times New Roman"/>
              </w:rPr>
              <w:t>30,9</w:t>
            </w:r>
          </w:p>
        </w:tc>
        <w:tc>
          <w:tcPr>
            <w:tcW w:w="1134"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sidRPr="00C11E2B">
              <w:rPr>
                <w:rFonts w:ascii="Calibri" w:eastAsia="Calibri" w:hAnsi="Calibri" w:cs="Times New Roman"/>
              </w:rPr>
              <w:t>26,3</w:t>
            </w:r>
          </w:p>
        </w:tc>
        <w:tc>
          <w:tcPr>
            <w:tcW w:w="1134"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sidRPr="00C11E2B">
              <w:rPr>
                <w:rFonts w:ascii="Calibri" w:eastAsia="Calibri" w:hAnsi="Calibri" w:cs="Times New Roman"/>
              </w:rPr>
              <w:t>25,6</w:t>
            </w:r>
          </w:p>
        </w:tc>
        <w:tc>
          <w:tcPr>
            <w:tcW w:w="993"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sidRPr="00C11E2B">
              <w:rPr>
                <w:rFonts w:ascii="Calibri" w:eastAsia="Calibri" w:hAnsi="Calibri" w:cs="Times New Roman"/>
              </w:rPr>
              <w:t>24,7</w:t>
            </w:r>
          </w:p>
        </w:tc>
        <w:tc>
          <w:tcPr>
            <w:tcW w:w="992" w:type="dxa"/>
            <w:tcBorders>
              <w:bottom w:val="single" w:sz="4" w:space="0" w:color="000000" w:themeColor="text1"/>
            </w:tcBorders>
            <w:shd w:val="clear" w:color="auto" w:fill="auto"/>
            <w:vAlign w:val="center"/>
          </w:tcPr>
          <w:p w:rsidR="00C11E2B" w:rsidRPr="00C11E2B" w:rsidRDefault="00C11E2B" w:rsidP="00C11E2B">
            <w:pPr>
              <w:ind w:right="237"/>
              <w:jc w:val="center"/>
              <w:rPr>
                <w:rFonts w:ascii="Calibri" w:eastAsia="Calibri" w:hAnsi="Calibri" w:cs="Times New Roman"/>
              </w:rPr>
            </w:pPr>
            <w:r>
              <w:rPr>
                <w:rFonts w:ascii="Calibri" w:eastAsia="Calibri" w:hAnsi="Calibri" w:cs="Times New Roman"/>
              </w:rPr>
              <w:t>24,1</w:t>
            </w:r>
          </w:p>
        </w:tc>
      </w:tr>
    </w:tbl>
    <w:p w:rsidR="00C11E2B" w:rsidRPr="00401F06" w:rsidRDefault="00C11E2B" w:rsidP="00C11E2B">
      <w:pPr>
        <w:spacing w:after="0"/>
        <w:ind w:right="237"/>
        <w:jc w:val="both"/>
        <w:rPr>
          <w:sz w:val="24"/>
          <w:szCs w:val="24"/>
        </w:rPr>
      </w:pPr>
    </w:p>
    <w:p w:rsidR="00C13FB4" w:rsidRDefault="00C13FB4" w:rsidP="00C13FB4">
      <w:pPr>
        <w:spacing w:after="0"/>
        <w:jc w:val="both"/>
        <w:rPr>
          <w:rFonts w:ascii="Calibri" w:eastAsia="Times New Roman" w:hAnsi="Calibri" w:cs="Times New Roman"/>
          <w:i/>
          <w:sz w:val="24"/>
          <w:szCs w:val="24"/>
          <w:lang w:eastAsia="mk-MK"/>
        </w:rPr>
      </w:pPr>
    </w:p>
    <w:p w:rsidR="00C13FB4" w:rsidRPr="00C13FB4" w:rsidRDefault="00C13FB4" w:rsidP="00C13FB4">
      <w:pPr>
        <w:spacing w:after="0"/>
        <w:jc w:val="both"/>
        <w:rPr>
          <w:i/>
          <w:sz w:val="24"/>
          <w:szCs w:val="24"/>
        </w:rPr>
      </w:pPr>
      <w:r w:rsidRPr="00C13FB4">
        <w:rPr>
          <w:rFonts w:ascii="Calibri" w:eastAsia="Times New Roman" w:hAnsi="Calibri" w:cs="Times New Roman"/>
          <w:i/>
          <w:sz w:val="24"/>
          <w:szCs w:val="24"/>
          <w:lang w:eastAsia="mk-MK"/>
        </w:rPr>
        <w:t xml:space="preserve">Слика 26: </w:t>
      </w:r>
      <w:r w:rsidRPr="00C13FB4">
        <w:rPr>
          <w:i/>
          <w:sz w:val="24"/>
          <w:szCs w:val="24"/>
        </w:rPr>
        <w:t>Број на пратки по глава</w:t>
      </w:r>
      <w:r w:rsidR="00395303">
        <w:rPr>
          <w:i/>
          <w:sz w:val="24"/>
          <w:szCs w:val="24"/>
        </w:rPr>
        <w:t xml:space="preserve"> на жител споредбено - 2009/2014</w:t>
      </w:r>
      <w:r w:rsidRPr="00C13FB4">
        <w:rPr>
          <w:i/>
          <w:sz w:val="24"/>
          <w:szCs w:val="24"/>
        </w:rPr>
        <w:t xml:space="preserve"> година</w:t>
      </w:r>
    </w:p>
    <w:p w:rsidR="00C13FB4" w:rsidRPr="00C13FB4" w:rsidRDefault="00C13FB4" w:rsidP="00C13FB4">
      <w:pPr>
        <w:spacing w:after="0"/>
        <w:jc w:val="both"/>
        <w:rPr>
          <w:b/>
          <w:i/>
          <w:sz w:val="24"/>
          <w:szCs w:val="24"/>
        </w:rPr>
      </w:pPr>
    </w:p>
    <w:p w:rsidR="00C13FB4" w:rsidRPr="00C13FB4" w:rsidRDefault="00C13FB4" w:rsidP="00C13FB4">
      <w:pPr>
        <w:ind w:right="237"/>
        <w:rPr>
          <w:sz w:val="24"/>
          <w:szCs w:val="24"/>
        </w:rPr>
      </w:pPr>
      <w:r w:rsidRPr="00C13FB4">
        <w:rPr>
          <w:noProof/>
          <w:lang w:eastAsia="mk-MK"/>
        </w:rPr>
        <w:drawing>
          <wp:inline distT="0" distB="0" distL="0" distR="0" wp14:anchorId="64BA4831" wp14:editId="59705C09">
            <wp:extent cx="6029325" cy="35147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3FB4" w:rsidRDefault="00C13FB4" w:rsidP="00084239">
      <w:pPr>
        <w:tabs>
          <w:tab w:val="left" w:pos="1260"/>
        </w:tabs>
        <w:rPr>
          <w:sz w:val="32"/>
          <w:szCs w:val="32"/>
        </w:rPr>
      </w:pPr>
    </w:p>
    <w:p w:rsidR="00395303" w:rsidRPr="00395303" w:rsidRDefault="00395303" w:rsidP="00395303">
      <w:pPr>
        <w:tabs>
          <w:tab w:val="left" w:pos="1260"/>
        </w:tabs>
        <w:ind w:firstLine="851"/>
        <w:jc w:val="both"/>
        <w:rPr>
          <w:sz w:val="24"/>
          <w:szCs w:val="24"/>
        </w:rPr>
      </w:pPr>
      <w:r>
        <w:rPr>
          <w:sz w:val="24"/>
          <w:szCs w:val="24"/>
        </w:rPr>
        <w:lastRenderedPageBreak/>
        <w:t xml:space="preserve">И во оваа, 2014 година, трендот на опаѓање на пратките по глава на жител се намалуваат. Така, ако бројот на пратки лани изнесуваше 24,7 оваа година е намален на 24,1 пратка по глава на жител, додека намалувањето од рекордно високиот износ од дури 30 пратки по глава на жител во 2010 година, оваа година изнесува 23% помалку. </w:t>
      </w:r>
    </w:p>
    <w:p w:rsidR="00C13FB4" w:rsidRDefault="00C13FB4" w:rsidP="00084239">
      <w:pPr>
        <w:tabs>
          <w:tab w:val="left" w:pos="1260"/>
        </w:tabs>
        <w:rPr>
          <w:sz w:val="32"/>
          <w:szCs w:val="32"/>
        </w:rPr>
      </w:pPr>
    </w:p>
    <w:p w:rsidR="00C13FB4" w:rsidRPr="00395303" w:rsidRDefault="00C13FB4" w:rsidP="005E6486">
      <w:pPr>
        <w:pStyle w:val="ListParagraph"/>
        <w:numPr>
          <w:ilvl w:val="0"/>
          <w:numId w:val="19"/>
        </w:numPr>
        <w:ind w:right="237"/>
        <w:rPr>
          <w:b/>
          <w:i/>
          <w:sz w:val="24"/>
          <w:szCs w:val="24"/>
          <w:u w:val="single"/>
        </w:rPr>
      </w:pPr>
      <w:r w:rsidRPr="00395303">
        <w:rPr>
          <w:b/>
          <w:i/>
          <w:sz w:val="24"/>
          <w:szCs w:val="24"/>
          <w:u w:val="single"/>
        </w:rPr>
        <w:t>Точки за пристап до поштенските услуги</w:t>
      </w:r>
    </w:p>
    <w:p w:rsidR="00C13FB4" w:rsidRPr="00C13FB4" w:rsidRDefault="00C13FB4" w:rsidP="00C13FB4">
      <w:pPr>
        <w:ind w:right="237"/>
        <w:rPr>
          <w:b/>
          <w:i/>
          <w:sz w:val="32"/>
          <w:szCs w:val="32"/>
          <w:u w:val="single"/>
        </w:rPr>
      </w:pPr>
    </w:p>
    <w:p w:rsidR="00C13FB4" w:rsidRPr="00C13FB4" w:rsidRDefault="005E6486" w:rsidP="00C13FB4">
      <w:pPr>
        <w:ind w:right="237"/>
        <w:contextualSpacing/>
        <w:rPr>
          <w:b/>
          <w:i/>
          <w:sz w:val="24"/>
          <w:szCs w:val="24"/>
        </w:rPr>
      </w:pPr>
      <w:r>
        <w:rPr>
          <w:b/>
          <w:i/>
          <w:sz w:val="24"/>
          <w:szCs w:val="24"/>
        </w:rPr>
        <w:t>6</w:t>
      </w:r>
      <w:r w:rsidR="00395303">
        <w:rPr>
          <w:b/>
          <w:i/>
          <w:sz w:val="24"/>
          <w:szCs w:val="24"/>
        </w:rPr>
        <w:t xml:space="preserve">.1 </w:t>
      </w:r>
      <w:r w:rsidR="00C13FB4" w:rsidRPr="00C13FB4">
        <w:rPr>
          <w:b/>
          <w:i/>
          <w:sz w:val="24"/>
          <w:szCs w:val="24"/>
        </w:rPr>
        <w:t>Македонска пошта</w:t>
      </w:r>
    </w:p>
    <w:p w:rsidR="00C13FB4" w:rsidRPr="00C13FB4" w:rsidRDefault="00C13FB4" w:rsidP="00C13FB4">
      <w:pPr>
        <w:ind w:left="720" w:right="237"/>
        <w:contextualSpacing/>
        <w:rPr>
          <w:b/>
          <w:i/>
          <w:sz w:val="24"/>
          <w:szCs w:val="24"/>
          <w:u w:val="single"/>
        </w:rPr>
      </w:pPr>
    </w:p>
    <w:p w:rsidR="00C13FB4" w:rsidRPr="00C13FB4" w:rsidRDefault="00C13FB4" w:rsidP="00395303">
      <w:pPr>
        <w:tabs>
          <w:tab w:val="left" w:pos="299"/>
          <w:tab w:val="left" w:pos="540"/>
        </w:tabs>
        <w:spacing w:after="0"/>
        <w:ind w:right="-22" w:firstLine="851"/>
        <w:jc w:val="both"/>
        <w:rPr>
          <w:rFonts w:eastAsia="Verdana" w:cstheme="minorHAnsi"/>
          <w:sz w:val="24"/>
          <w:szCs w:val="24"/>
        </w:rPr>
      </w:pPr>
      <w:r w:rsidRPr="00C13FB4">
        <w:rPr>
          <w:rFonts w:eastAsia="Verdana" w:cstheme="minorHAnsi"/>
          <w:sz w:val="24"/>
          <w:szCs w:val="24"/>
        </w:rPr>
        <w:t>Поштенска мрежа претставува систем на организација и средства кои се употребуваат од давателите на поштенските услуги за прием и дистрибуција на поштенски пратки до назначената адреса.</w:t>
      </w:r>
    </w:p>
    <w:p w:rsidR="00C13FB4" w:rsidRPr="00C13FB4" w:rsidRDefault="00C13FB4" w:rsidP="00395303">
      <w:pPr>
        <w:ind w:right="-22" w:firstLine="851"/>
        <w:jc w:val="both"/>
        <w:rPr>
          <w:sz w:val="24"/>
          <w:szCs w:val="24"/>
        </w:rPr>
      </w:pPr>
      <w:r w:rsidRPr="00C13FB4">
        <w:rPr>
          <w:sz w:val="24"/>
          <w:szCs w:val="24"/>
        </w:rPr>
        <w:t>Под поштенска мрежа се подразбираат, сите поштенски единици, поштенски центри за сортирање, дистрибутивни центри и други објекти, поштенска опрема и средства, меѓусебно поврзани во единствена техничка технолошка целина, која Македонска пошта ја користи за обезбедување на поштенски услуги на цела територија на Република Македонија.</w:t>
      </w:r>
    </w:p>
    <w:p w:rsidR="00C13FB4" w:rsidRPr="00C13FB4" w:rsidRDefault="00C13FB4" w:rsidP="00395303">
      <w:pPr>
        <w:ind w:right="-22"/>
        <w:jc w:val="both"/>
        <w:rPr>
          <w:sz w:val="24"/>
          <w:szCs w:val="24"/>
        </w:rPr>
      </w:pPr>
      <w:r w:rsidRPr="00C13FB4">
        <w:rPr>
          <w:sz w:val="24"/>
          <w:szCs w:val="24"/>
        </w:rPr>
        <w:t xml:space="preserve">Точки за пристап претставуваат сите видови на физички објекти на давателот на универзална услуга, вклучувајќи ги и поштенските преградоци каде се врши испорака на поштенските пратки примени во пристап. </w:t>
      </w:r>
    </w:p>
    <w:p w:rsidR="00C13FB4" w:rsidRPr="00C13FB4" w:rsidRDefault="00C13FB4" w:rsidP="00395303">
      <w:pPr>
        <w:spacing w:line="360" w:lineRule="auto"/>
        <w:ind w:right="-22"/>
        <w:jc w:val="both"/>
        <w:rPr>
          <w:rFonts w:ascii="Calibri" w:eastAsia="Times New Roman" w:hAnsi="Calibri" w:cs="Times New Roman"/>
          <w:sz w:val="24"/>
          <w:lang w:eastAsia="mk-MK"/>
        </w:rPr>
      </w:pPr>
      <w:r w:rsidRPr="00C13FB4">
        <w:rPr>
          <w:rFonts w:ascii="Calibri" w:eastAsia="Times New Roman" w:hAnsi="Calibri" w:cs="Times New Roman"/>
          <w:sz w:val="24"/>
          <w:lang w:eastAsia="mk-MK"/>
        </w:rPr>
        <w:t xml:space="preserve">Доставата на поштенските пратки се врши преку пошторазнесувачи и преку поштенски фахови, лоцирани во поголемите поштенски единици во населените места во Република Македонија. Доставата на поштенските пратки се обезбедува преку </w:t>
      </w:r>
      <w:r w:rsidRPr="00613387">
        <w:rPr>
          <w:rFonts w:ascii="Calibri" w:eastAsia="Times New Roman" w:hAnsi="Calibri" w:cs="Times New Roman"/>
          <w:sz w:val="24"/>
          <w:lang w:eastAsia="mk-MK"/>
        </w:rPr>
        <w:t>620</w:t>
      </w:r>
      <w:r w:rsidR="00613387">
        <w:rPr>
          <w:rFonts w:ascii="Calibri" w:eastAsia="Times New Roman" w:hAnsi="Calibri" w:cs="Times New Roman"/>
          <w:sz w:val="24"/>
          <w:lang w:eastAsia="mk-MK"/>
        </w:rPr>
        <w:t xml:space="preserve"> </w:t>
      </w:r>
      <w:proofErr w:type="spellStart"/>
      <w:r w:rsidRPr="00C13FB4">
        <w:rPr>
          <w:rFonts w:ascii="Calibri" w:eastAsia="Times New Roman" w:hAnsi="Calibri" w:cs="Times New Roman"/>
          <w:sz w:val="24"/>
          <w:lang w:eastAsia="mk-MK"/>
        </w:rPr>
        <w:t>пошторазнесувачи</w:t>
      </w:r>
      <w:proofErr w:type="spellEnd"/>
      <w:r w:rsidRPr="00C13FB4">
        <w:rPr>
          <w:rFonts w:ascii="Calibri" w:eastAsia="Times New Roman" w:hAnsi="Calibri" w:cs="Times New Roman"/>
          <w:sz w:val="24"/>
          <w:lang w:eastAsia="mk-MK"/>
        </w:rPr>
        <w:t xml:space="preserve"> на </w:t>
      </w:r>
      <w:r w:rsidRPr="00613387">
        <w:rPr>
          <w:rFonts w:ascii="Calibri" w:eastAsia="Times New Roman" w:hAnsi="Calibri" w:cs="Times New Roman"/>
          <w:sz w:val="24"/>
          <w:lang w:eastAsia="mk-MK"/>
        </w:rPr>
        <w:t xml:space="preserve">827 </w:t>
      </w:r>
      <w:r w:rsidRPr="00C13FB4">
        <w:rPr>
          <w:rFonts w:ascii="Calibri" w:eastAsia="Times New Roman" w:hAnsi="Calibri" w:cs="Times New Roman"/>
          <w:sz w:val="24"/>
          <w:lang w:eastAsia="mk-MK"/>
        </w:rPr>
        <w:t>реони кои ја покриваат цела територија на Република Македонија. Испораката на пошт</w:t>
      </w:r>
      <w:r>
        <w:rPr>
          <w:rFonts w:ascii="Calibri" w:eastAsia="Times New Roman" w:hAnsi="Calibri" w:cs="Times New Roman"/>
          <w:sz w:val="24"/>
          <w:lang w:eastAsia="mk-MK"/>
        </w:rPr>
        <w:t>енски пратки се врши преку 6,485</w:t>
      </w:r>
      <w:r w:rsidRPr="00C13FB4">
        <w:rPr>
          <w:rFonts w:ascii="Calibri" w:eastAsia="Times New Roman" w:hAnsi="Calibri" w:cs="Times New Roman"/>
          <w:sz w:val="24"/>
          <w:lang w:eastAsia="mk-MK"/>
        </w:rPr>
        <w:t xml:space="preserve"> поштенски фахови. </w:t>
      </w: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883FD5" w:rsidRDefault="00883FD5" w:rsidP="00C13FB4">
      <w:pPr>
        <w:spacing w:after="0"/>
        <w:ind w:right="237"/>
        <w:jc w:val="both"/>
        <w:rPr>
          <w:rFonts w:ascii="Calibri" w:eastAsia="Times New Roman" w:hAnsi="Calibri" w:cs="Times New Roman"/>
          <w:i/>
          <w:sz w:val="24"/>
          <w:szCs w:val="24"/>
          <w:lang w:eastAsia="mk-MK"/>
        </w:rPr>
      </w:pPr>
    </w:p>
    <w:p w:rsidR="00C13FB4" w:rsidRPr="00C13FB4" w:rsidRDefault="00C13FB4" w:rsidP="00395303">
      <w:pPr>
        <w:spacing w:after="0"/>
        <w:ind w:right="237"/>
        <w:jc w:val="center"/>
        <w:rPr>
          <w:i/>
          <w:sz w:val="24"/>
          <w:szCs w:val="24"/>
        </w:rPr>
      </w:pPr>
      <w:r w:rsidRPr="00C13FB4">
        <w:rPr>
          <w:rFonts w:ascii="Calibri" w:eastAsia="Times New Roman" w:hAnsi="Calibri" w:cs="Times New Roman"/>
          <w:i/>
          <w:sz w:val="24"/>
          <w:szCs w:val="24"/>
          <w:lang w:eastAsia="mk-MK"/>
        </w:rPr>
        <w:lastRenderedPageBreak/>
        <w:t>Слика 27: Т</w:t>
      </w:r>
      <w:r w:rsidRPr="00C13FB4">
        <w:rPr>
          <w:i/>
          <w:sz w:val="24"/>
          <w:szCs w:val="24"/>
        </w:rPr>
        <w:t xml:space="preserve">ехничко – технолошки средства за обезбедување на поштенски пратки </w:t>
      </w:r>
      <w:r w:rsidR="00883FD5">
        <w:rPr>
          <w:i/>
          <w:sz w:val="24"/>
          <w:szCs w:val="24"/>
        </w:rPr>
        <w:t>– Македонска пошта 2014</w:t>
      </w:r>
      <w:r w:rsidRPr="00C13FB4">
        <w:rPr>
          <w:i/>
          <w:sz w:val="24"/>
          <w:szCs w:val="24"/>
        </w:rPr>
        <w:t xml:space="preserve"> година</w:t>
      </w:r>
    </w:p>
    <w:p w:rsidR="00C13FB4" w:rsidRPr="00C13FB4" w:rsidRDefault="00C13FB4" w:rsidP="00C13FB4">
      <w:pPr>
        <w:spacing w:after="0"/>
        <w:ind w:right="237"/>
        <w:jc w:val="both"/>
        <w:rPr>
          <w:b/>
          <w:i/>
          <w:sz w:val="24"/>
          <w:szCs w:val="24"/>
        </w:rPr>
      </w:pPr>
    </w:p>
    <w:p w:rsidR="00C13FB4" w:rsidRPr="00C13FB4" w:rsidRDefault="00C13FB4" w:rsidP="00C13FB4">
      <w:pPr>
        <w:ind w:right="237"/>
        <w:contextualSpacing/>
        <w:jc w:val="center"/>
        <w:rPr>
          <w:b/>
          <w:i/>
          <w:sz w:val="24"/>
          <w:szCs w:val="24"/>
          <w:u w:val="single"/>
        </w:rPr>
      </w:pPr>
      <w:r w:rsidRPr="00C13FB4">
        <w:rPr>
          <w:noProof/>
          <w:lang w:eastAsia="mk-MK"/>
        </w:rPr>
        <w:drawing>
          <wp:inline distT="0" distB="0" distL="0" distR="0" wp14:anchorId="46025382" wp14:editId="624A7505">
            <wp:extent cx="5695950" cy="3476625"/>
            <wp:effectExtent l="0" t="0" r="0" b="0"/>
            <wp:docPr id="1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84239" w:rsidRPr="00084239" w:rsidRDefault="00084239" w:rsidP="00084239">
      <w:pPr>
        <w:tabs>
          <w:tab w:val="left" w:pos="1260"/>
        </w:tabs>
        <w:rPr>
          <w:sz w:val="32"/>
          <w:szCs w:val="32"/>
        </w:rPr>
      </w:pPr>
    </w:p>
    <w:p w:rsidR="00883FD5" w:rsidRPr="00395303" w:rsidRDefault="00883FD5" w:rsidP="00883FD5">
      <w:pPr>
        <w:ind w:right="237"/>
        <w:jc w:val="both"/>
        <w:rPr>
          <w:sz w:val="24"/>
          <w:szCs w:val="24"/>
        </w:rPr>
      </w:pPr>
      <w:r w:rsidRPr="00395303">
        <w:rPr>
          <w:sz w:val="24"/>
          <w:szCs w:val="24"/>
        </w:rPr>
        <w:t>Во 2014 година Македонска пошта поседувала 7173 различни точки за прием:</w:t>
      </w:r>
    </w:p>
    <w:p w:rsidR="00883FD5" w:rsidRPr="00395303" w:rsidRDefault="00883FD5" w:rsidP="00883FD5">
      <w:pPr>
        <w:numPr>
          <w:ilvl w:val="0"/>
          <w:numId w:val="4"/>
        </w:numPr>
        <w:ind w:right="237"/>
        <w:contextualSpacing/>
        <w:jc w:val="both"/>
        <w:rPr>
          <w:sz w:val="24"/>
          <w:szCs w:val="24"/>
        </w:rPr>
      </w:pPr>
      <w:r w:rsidRPr="00395303">
        <w:rPr>
          <w:sz w:val="24"/>
          <w:szCs w:val="24"/>
        </w:rPr>
        <w:t>Поштенски единици ......................... 329</w:t>
      </w:r>
    </w:p>
    <w:p w:rsidR="00883FD5" w:rsidRPr="00395303" w:rsidRDefault="00883FD5" w:rsidP="00883FD5">
      <w:pPr>
        <w:numPr>
          <w:ilvl w:val="0"/>
          <w:numId w:val="4"/>
        </w:numPr>
        <w:ind w:right="237"/>
        <w:contextualSpacing/>
        <w:jc w:val="both"/>
        <w:rPr>
          <w:sz w:val="24"/>
          <w:szCs w:val="24"/>
        </w:rPr>
      </w:pPr>
      <w:r w:rsidRPr="00395303">
        <w:rPr>
          <w:sz w:val="24"/>
          <w:szCs w:val="24"/>
        </w:rPr>
        <w:t>Поштенски сандачиња...................... 359</w:t>
      </w:r>
    </w:p>
    <w:p w:rsidR="00883FD5" w:rsidRPr="00395303" w:rsidRDefault="00883FD5" w:rsidP="00883FD5">
      <w:pPr>
        <w:numPr>
          <w:ilvl w:val="0"/>
          <w:numId w:val="4"/>
        </w:numPr>
        <w:ind w:right="237"/>
        <w:contextualSpacing/>
        <w:jc w:val="both"/>
        <w:rPr>
          <w:sz w:val="24"/>
          <w:szCs w:val="24"/>
        </w:rPr>
      </w:pPr>
      <w:r w:rsidRPr="00395303">
        <w:rPr>
          <w:sz w:val="24"/>
          <w:szCs w:val="24"/>
        </w:rPr>
        <w:t>Поштенски фахови .......................... 6485</w:t>
      </w:r>
    </w:p>
    <w:p w:rsidR="00883FD5" w:rsidRPr="00883FD5" w:rsidRDefault="00883FD5" w:rsidP="00883FD5">
      <w:pPr>
        <w:spacing w:after="0"/>
        <w:ind w:right="237"/>
        <w:jc w:val="both"/>
        <w:rPr>
          <w:rFonts w:ascii="Calibri" w:eastAsia="Times New Roman" w:hAnsi="Calibri" w:cs="Times New Roman"/>
          <w:b/>
          <w:i/>
          <w:sz w:val="24"/>
          <w:szCs w:val="24"/>
          <w:lang w:eastAsia="mk-MK"/>
        </w:rPr>
      </w:pPr>
    </w:p>
    <w:p w:rsidR="00883FD5" w:rsidRPr="00814914" w:rsidRDefault="00883FD5" w:rsidP="00395303">
      <w:pPr>
        <w:spacing w:after="0"/>
        <w:ind w:right="237"/>
        <w:jc w:val="center"/>
        <w:rPr>
          <w:i/>
          <w:sz w:val="24"/>
          <w:szCs w:val="24"/>
        </w:rPr>
      </w:pPr>
      <w:r w:rsidRPr="00814914">
        <w:rPr>
          <w:rFonts w:ascii="Calibri" w:eastAsia="Times New Roman" w:hAnsi="Calibri" w:cs="Times New Roman"/>
          <w:i/>
          <w:sz w:val="24"/>
          <w:szCs w:val="24"/>
          <w:lang w:eastAsia="mk-MK"/>
        </w:rPr>
        <w:t>Слика 28: Точки за пристап</w:t>
      </w:r>
      <w:r w:rsidRPr="00814914">
        <w:rPr>
          <w:i/>
          <w:sz w:val="24"/>
          <w:szCs w:val="24"/>
        </w:rPr>
        <w:t xml:space="preserve"> за обезбедување на поштенск</w:t>
      </w:r>
      <w:r w:rsidR="00814914">
        <w:rPr>
          <w:i/>
          <w:sz w:val="24"/>
          <w:szCs w:val="24"/>
        </w:rPr>
        <w:t>и пратки – Македонска пошта 2014</w:t>
      </w:r>
      <w:r w:rsidRPr="00814914">
        <w:rPr>
          <w:i/>
          <w:sz w:val="24"/>
          <w:szCs w:val="24"/>
        </w:rPr>
        <w:t>/2012 година</w:t>
      </w:r>
    </w:p>
    <w:p w:rsidR="00883FD5" w:rsidRPr="00883FD5" w:rsidRDefault="00883FD5" w:rsidP="00883FD5">
      <w:pPr>
        <w:spacing w:after="0"/>
        <w:ind w:right="237"/>
        <w:jc w:val="both"/>
        <w:rPr>
          <w:b/>
          <w:i/>
          <w:sz w:val="24"/>
          <w:szCs w:val="24"/>
        </w:rPr>
      </w:pPr>
    </w:p>
    <w:tbl>
      <w:tblPr>
        <w:tblW w:w="9356"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395"/>
        <w:gridCol w:w="2551"/>
        <w:gridCol w:w="2410"/>
      </w:tblGrid>
      <w:tr w:rsidR="00883FD5" w:rsidRPr="00883FD5" w:rsidTr="00814914">
        <w:trPr>
          <w:trHeight w:val="786"/>
        </w:trPr>
        <w:tc>
          <w:tcPr>
            <w:tcW w:w="4395" w:type="dxa"/>
            <w:shd w:val="clear" w:color="auto" w:fill="DA105D"/>
            <w:noWrap/>
            <w:vAlign w:val="center"/>
            <w:hideMark/>
          </w:tcPr>
          <w:p w:rsidR="00883FD5" w:rsidRPr="00814914" w:rsidRDefault="00883FD5" w:rsidP="00814914">
            <w:pPr>
              <w:spacing w:after="0"/>
              <w:ind w:right="237"/>
              <w:rPr>
                <w:rFonts w:ascii="Calibri" w:eastAsia="Calibri" w:hAnsi="Calibri" w:cs="Times New Roman"/>
                <w:b/>
                <w:bCs/>
                <w:color w:val="FFFFFF"/>
                <w:sz w:val="28"/>
                <w:szCs w:val="28"/>
                <w:lang w:val="en-US"/>
              </w:rPr>
            </w:pPr>
            <w:r w:rsidRPr="00814914">
              <w:rPr>
                <w:rFonts w:ascii="Calibri" w:eastAsia="Calibri" w:hAnsi="Calibri" w:cs="Times New Roman"/>
                <w:b/>
                <w:bCs/>
                <w:color w:val="FFFFFF"/>
                <w:sz w:val="28"/>
                <w:szCs w:val="28"/>
                <w:lang w:val="en-US"/>
              </w:rPr>
              <w:t xml:space="preserve">Точки </w:t>
            </w:r>
            <w:r w:rsidRPr="00814914">
              <w:rPr>
                <w:rFonts w:ascii="Calibri" w:eastAsia="Calibri" w:hAnsi="Calibri" w:cs="Times New Roman"/>
                <w:b/>
                <w:bCs/>
                <w:color w:val="FFFFFF"/>
                <w:sz w:val="28"/>
                <w:szCs w:val="28"/>
              </w:rPr>
              <w:t>з</w:t>
            </w:r>
            <w:r w:rsidRPr="00814914">
              <w:rPr>
                <w:rFonts w:ascii="Calibri" w:eastAsia="Calibri" w:hAnsi="Calibri" w:cs="Times New Roman"/>
                <w:b/>
                <w:bCs/>
                <w:color w:val="FFFFFF"/>
                <w:sz w:val="28"/>
                <w:szCs w:val="28"/>
                <w:lang w:val="en-US"/>
              </w:rPr>
              <w:t>а пристап</w:t>
            </w:r>
          </w:p>
        </w:tc>
        <w:tc>
          <w:tcPr>
            <w:tcW w:w="2551" w:type="dxa"/>
            <w:shd w:val="clear" w:color="auto" w:fill="DA105D"/>
            <w:noWrap/>
            <w:vAlign w:val="center"/>
            <w:hideMark/>
          </w:tcPr>
          <w:p w:rsidR="00883FD5" w:rsidRPr="00814914" w:rsidRDefault="00814914" w:rsidP="00883FD5">
            <w:pPr>
              <w:spacing w:after="0"/>
              <w:ind w:right="237"/>
              <w:jc w:val="center"/>
              <w:rPr>
                <w:rFonts w:ascii="Calibri" w:eastAsia="Calibri" w:hAnsi="Calibri" w:cs="Times New Roman"/>
                <w:b/>
                <w:bCs/>
                <w:color w:val="FFFFFF"/>
                <w:sz w:val="28"/>
                <w:szCs w:val="28"/>
              </w:rPr>
            </w:pPr>
            <w:r w:rsidRPr="00814914">
              <w:rPr>
                <w:rFonts w:ascii="Calibri" w:eastAsia="Calibri" w:hAnsi="Calibri" w:cs="Times New Roman"/>
                <w:b/>
                <w:bCs/>
                <w:color w:val="FFFFFF"/>
                <w:sz w:val="28"/>
                <w:szCs w:val="28"/>
              </w:rPr>
              <w:t>2014</w:t>
            </w:r>
            <w:r w:rsidR="00883FD5" w:rsidRPr="00814914">
              <w:rPr>
                <w:rFonts w:ascii="Calibri" w:eastAsia="Calibri" w:hAnsi="Calibri" w:cs="Times New Roman"/>
                <w:b/>
                <w:bCs/>
                <w:color w:val="FFFFFF"/>
                <w:sz w:val="28"/>
                <w:szCs w:val="28"/>
              </w:rPr>
              <w:t xml:space="preserve"> година</w:t>
            </w:r>
          </w:p>
        </w:tc>
        <w:tc>
          <w:tcPr>
            <w:tcW w:w="2410" w:type="dxa"/>
            <w:shd w:val="clear" w:color="auto" w:fill="DA105D"/>
            <w:vAlign w:val="center"/>
          </w:tcPr>
          <w:p w:rsidR="00883FD5" w:rsidRPr="00814914" w:rsidRDefault="00883FD5" w:rsidP="00883FD5">
            <w:pPr>
              <w:spacing w:after="0"/>
              <w:jc w:val="center"/>
              <w:rPr>
                <w:b/>
                <w:bCs/>
                <w:color w:val="FFFFFF" w:themeColor="background1"/>
                <w:sz w:val="28"/>
                <w:szCs w:val="28"/>
              </w:rPr>
            </w:pPr>
            <w:r w:rsidRPr="00814914">
              <w:rPr>
                <w:b/>
                <w:bCs/>
                <w:color w:val="FFFFFF" w:themeColor="background1"/>
                <w:sz w:val="28"/>
                <w:szCs w:val="28"/>
              </w:rPr>
              <w:t>2012 година</w:t>
            </w:r>
          </w:p>
        </w:tc>
      </w:tr>
      <w:tr w:rsidR="00883FD5" w:rsidRPr="00883FD5" w:rsidTr="00814914">
        <w:trPr>
          <w:trHeight w:val="286"/>
        </w:trPr>
        <w:tc>
          <w:tcPr>
            <w:tcW w:w="4395" w:type="dxa"/>
            <w:shd w:val="clear" w:color="auto" w:fill="auto"/>
            <w:noWrap/>
            <w:vAlign w:val="bottom"/>
            <w:hideMark/>
          </w:tcPr>
          <w:p w:rsidR="00883FD5" w:rsidRPr="00814914" w:rsidRDefault="00883FD5" w:rsidP="00883FD5">
            <w:pPr>
              <w:numPr>
                <w:ilvl w:val="0"/>
                <w:numId w:val="8"/>
              </w:numPr>
              <w:spacing w:after="0"/>
              <w:ind w:left="460" w:right="237"/>
              <w:contextualSpacing/>
              <w:rPr>
                <w:rFonts w:ascii="Calibri" w:eastAsia="Calibri" w:hAnsi="Calibri" w:cs="Times New Roman"/>
                <w:lang w:val="en-US"/>
              </w:rPr>
            </w:pPr>
            <w:r w:rsidRPr="00814914">
              <w:rPr>
                <w:rFonts w:ascii="Calibri" w:eastAsia="Calibri" w:hAnsi="Calibri" w:cs="Times New Roman"/>
              </w:rPr>
              <w:t>Поштенски единици за прием на поштенски пратки</w:t>
            </w:r>
          </w:p>
        </w:tc>
        <w:tc>
          <w:tcPr>
            <w:tcW w:w="2551" w:type="dxa"/>
            <w:shd w:val="clear" w:color="auto" w:fill="auto"/>
            <w:noWrap/>
            <w:vAlign w:val="bottom"/>
          </w:tcPr>
          <w:p w:rsidR="00883FD5" w:rsidRPr="00883FD5" w:rsidRDefault="00883FD5" w:rsidP="00883FD5">
            <w:pPr>
              <w:spacing w:after="0"/>
              <w:ind w:right="237"/>
              <w:jc w:val="center"/>
              <w:rPr>
                <w:rFonts w:ascii="Calibri" w:eastAsia="Calibri" w:hAnsi="Calibri" w:cs="Times New Roman"/>
              </w:rPr>
            </w:pPr>
            <w:r w:rsidRPr="00883FD5">
              <w:rPr>
                <w:rFonts w:ascii="Calibri" w:eastAsia="Calibri" w:hAnsi="Calibri" w:cs="Times New Roman"/>
              </w:rPr>
              <w:t>329</w:t>
            </w:r>
          </w:p>
        </w:tc>
        <w:tc>
          <w:tcPr>
            <w:tcW w:w="2410" w:type="dxa"/>
            <w:vAlign w:val="bottom"/>
          </w:tcPr>
          <w:p w:rsidR="00883FD5" w:rsidRPr="00883FD5" w:rsidRDefault="00883FD5" w:rsidP="00883FD5">
            <w:pPr>
              <w:spacing w:after="0"/>
              <w:jc w:val="center"/>
            </w:pPr>
            <w:r w:rsidRPr="00883FD5">
              <w:t>328</w:t>
            </w:r>
          </w:p>
        </w:tc>
      </w:tr>
      <w:tr w:rsidR="00883FD5" w:rsidRPr="00883FD5" w:rsidTr="00814914">
        <w:trPr>
          <w:trHeight w:val="286"/>
        </w:trPr>
        <w:tc>
          <w:tcPr>
            <w:tcW w:w="4395" w:type="dxa"/>
            <w:shd w:val="clear" w:color="auto" w:fill="auto"/>
            <w:noWrap/>
            <w:vAlign w:val="bottom"/>
            <w:hideMark/>
          </w:tcPr>
          <w:p w:rsidR="00883FD5" w:rsidRPr="00814914" w:rsidRDefault="00883FD5" w:rsidP="00883FD5">
            <w:pPr>
              <w:numPr>
                <w:ilvl w:val="0"/>
                <w:numId w:val="8"/>
              </w:numPr>
              <w:spacing w:after="0"/>
              <w:ind w:left="460" w:right="237"/>
              <w:contextualSpacing/>
              <w:rPr>
                <w:rFonts w:ascii="Calibri" w:eastAsia="Calibri" w:hAnsi="Calibri" w:cs="Times New Roman"/>
                <w:lang w:val="en-US"/>
              </w:rPr>
            </w:pPr>
            <w:r w:rsidRPr="00814914">
              <w:rPr>
                <w:rFonts w:ascii="Calibri" w:eastAsia="Calibri" w:hAnsi="Calibri" w:cs="Times New Roman"/>
                <w:lang w:val="en-US"/>
              </w:rPr>
              <w:t>Поштенски сандачиња</w:t>
            </w:r>
          </w:p>
        </w:tc>
        <w:tc>
          <w:tcPr>
            <w:tcW w:w="2551" w:type="dxa"/>
            <w:shd w:val="clear" w:color="auto" w:fill="auto"/>
            <w:noWrap/>
            <w:vAlign w:val="bottom"/>
          </w:tcPr>
          <w:p w:rsidR="00883FD5" w:rsidRPr="00883FD5" w:rsidRDefault="00883FD5" w:rsidP="00883FD5">
            <w:pPr>
              <w:spacing w:after="0"/>
              <w:ind w:right="237"/>
              <w:jc w:val="center"/>
              <w:rPr>
                <w:rFonts w:ascii="Calibri" w:eastAsia="Calibri" w:hAnsi="Calibri" w:cs="Times New Roman"/>
              </w:rPr>
            </w:pPr>
            <w:r w:rsidRPr="00883FD5">
              <w:rPr>
                <w:rFonts w:ascii="Calibri" w:eastAsia="Calibri" w:hAnsi="Calibri" w:cs="Times New Roman"/>
              </w:rPr>
              <w:t>359</w:t>
            </w:r>
          </w:p>
        </w:tc>
        <w:tc>
          <w:tcPr>
            <w:tcW w:w="2410" w:type="dxa"/>
            <w:vAlign w:val="bottom"/>
          </w:tcPr>
          <w:p w:rsidR="00883FD5" w:rsidRPr="00883FD5" w:rsidRDefault="00883FD5" w:rsidP="00883FD5">
            <w:pPr>
              <w:spacing w:after="0"/>
              <w:jc w:val="center"/>
            </w:pPr>
            <w:r w:rsidRPr="00883FD5">
              <w:t>359</w:t>
            </w:r>
          </w:p>
        </w:tc>
      </w:tr>
      <w:tr w:rsidR="00883FD5" w:rsidRPr="00883FD5" w:rsidTr="00814914">
        <w:trPr>
          <w:trHeight w:val="286"/>
        </w:trPr>
        <w:tc>
          <w:tcPr>
            <w:tcW w:w="4395" w:type="dxa"/>
            <w:shd w:val="clear" w:color="auto" w:fill="auto"/>
            <w:noWrap/>
            <w:vAlign w:val="bottom"/>
            <w:hideMark/>
          </w:tcPr>
          <w:p w:rsidR="00883FD5" w:rsidRPr="00814914" w:rsidRDefault="00883FD5" w:rsidP="00883FD5">
            <w:pPr>
              <w:numPr>
                <w:ilvl w:val="0"/>
                <w:numId w:val="8"/>
              </w:numPr>
              <w:spacing w:after="0"/>
              <w:ind w:left="460" w:right="237"/>
              <w:contextualSpacing/>
              <w:rPr>
                <w:rFonts w:ascii="Calibri" w:eastAsia="Calibri" w:hAnsi="Calibri" w:cs="Times New Roman"/>
                <w:lang w:val="en-US"/>
              </w:rPr>
            </w:pPr>
            <w:r w:rsidRPr="00814914">
              <w:rPr>
                <w:rFonts w:ascii="Calibri" w:eastAsia="Calibri" w:hAnsi="Calibri" w:cs="Times New Roman"/>
                <w:lang w:val="en-US"/>
              </w:rPr>
              <w:t>Поштенски фахови</w:t>
            </w:r>
          </w:p>
        </w:tc>
        <w:tc>
          <w:tcPr>
            <w:tcW w:w="2551" w:type="dxa"/>
            <w:shd w:val="clear" w:color="auto" w:fill="auto"/>
            <w:noWrap/>
            <w:vAlign w:val="bottom"/>
          </w:tcPr>
          <w:p w:rsidR="00883FD5" w:rsidRPr="00883FD5" w:rsidRDefault="00883FD5" w:rsidP="00883FD5">
            <w:pPr>
              <w:spacing w:after="0"/>
              <w:ind w:right="237"/>
              <w:jc w:val="center"/>
              <w:rPr>
                <w:rFonts w:ascii="Calibri" w:eastAsia="Calibri" w:hAnsi="Calibri" w:cs="Times New Roman"/>
              </w:rPr>
            </w:pPr>
            <w:r w:rsidRPr="00883FD5">
              <w:rPr>
                <w:rFonts w:ascii="Calibri" w:eastAsia="Calibri" w:hAnsi="Calibri" w:cs="Times New Roman"/>
              </w:rPr>
              <w:t>6,485</w:t>
            </w:r>
          </w:p>
        </w:tc>
        <w:tc>
          <w:tcPr>
            <w:tcW w:w="2410" w:type="dxa"/>
            <w:vAlign w:val="bottom"/>
          </w:tcPr>
          <w:p w:rsidR="00883FD5" w:rsidRPr="00883FD5" w:rsidRDefault="00883FD5" w:rsidP="00883FD5">
            <w:pPr>
              <w:spacing w:after="0"/>
              <w:jc w:val="center"/>
            </w:pPr>
            <w:r w:rsidRPr="00883FD5">
              <w:t>6,485</w:t>
            </w:r>
          </w:p>
        </w:tc>
      </w:tr>
      <w:tr w:rsidR="00883FD5" w:rsidRPr="00883FD5" w:rsidTr="00814914">
        <w:trPr>
          <w:trHeight w:val="286"/>
        </w:trPr>
        <w:tc>
          <w:tcPr>
            <w:tcW w:w="4395" w:type="dxa"/>
            <w:shd w:val="clear" w:color="auto" w:fill="auto"/>
            <w:noWrap/>
            <w:vAlign w:val="bottom"/>
          </w:tcPr>
          <w:p w:rsidR="00883FD5" w:rsidRPr="00814914" w:rsidRDefault="00883FD5" w:rsidP="00883FD5">
            <w:pPr>
              <w:spacing w:after="0"/>
              <w:ind w:left="460" w:right="237"/>
              <w:contextualSpacing/>
              <w:rPr>
                <w:rFonts w:ascii="Calibri" w:eastAsia="Calibri" w:hAnsi="Calibri" w:cs="Times New Roman"/>
                <w:lang w:val="en-US"/>
              </w:rPr>
            </w:pPr>
            <w:r w:rsidRPr="00814914">
              <w:rPr>
                <w:rFonts w:ascii="Calibri" w:eastAsia="Calibri" w:hAnsi="Calibri" w:cs="Times New Roman"/>
              </w:rPr>
              <w:t>Вкупно</w:t>
            </w:r>
          </w:p>
        </w:tc>
        <w:tc>
          <w:tcPr>
            <w:tcW w:w="2551" w:type="dxa"/>
            <w:shd w:val="clear" w:color="auto" w:fill="auto"/>
            <w:noWrap/>
            <w:vAlign w:val="bottom"/>
          </w:tcPr>
          <w:p w:rsidR="00883FD5" w:rsidRPr="00883FD5" w:rsidRDefault="00883FD5" w:rsidP="00883FD5">
            <w:pPr>
              <w:spacing w:after="0"/>
              <w:ind w:right="237"/>
              <w:jc w:val="center"/>
              <w:rPr>
                <w:rFonts w:ascii="Calibri" w:eastAsia="Calibri" w:hAnsi="Calibri" w:cs="Times New Roman"/>
              </w:rPr>
            </w:pPr>
            <w:r w:rsidRPr="00883FD5">
              <w:rPr>
                <w:rFonts w:ascii="Calibri" w:eastAsia="Calibri" w:hAnsi="Calibri" w:cs="Times New Roman"/>
              </w:rPr>
              <w:t>7,173</w:t>
            </w:r>
          </w:p>
        </w:tc>
        <w:tc>
          <w:tcPr>
            <w:tcW w:w="2410" w:type="dxa"/>
            <w:vAlign w:val="bottom"/>
          </w:tcPr>
          <w:p w:rsidR="00883FD5" w:rsidRPr="00883FD5" w:rsidRDefault="00883FD5" w:rsidP="00883FD5">
            <w:pPr>
              <w:spacing w:after="0"/>
              <w:jc w:val="center"/>
            </w:pPr>
            <w:r w:rsidRPr="00883FD5">
              <w:t>7,172</w:t>
            </w:r>
          </w:p>
        </w:tc>
      </w:tr>
    </w:tbl>
    <w:p w:rsidR="00883FD5" w:rsidRPr="00883FD5" w:rsidRDefault="00883FD5" w:rsidP="00883FD5">
      <w:pPr>
        <w:ind w:left="709" w:right="237"/>
        <w:contextualSpacing/>
        <w:jc w:val="both"/>
        <w:rPr>
          <w:sz w:val="24"/>
          <w:szCs w:val="24"/>
        </w:rPr>
      </w:pPr>
    </w:p>
    <w:p w:rsidR="00084239" w:rsidRPr="00084239" w:rsidRDefault="00084239" w:rsidP="00084239">
      <w:pPr>
        <w:rPr>
          <w:sz w:val="32"/>
          <w:szCs w:val="32"/>
        </w:rPr>
      </w:pPr>
    </w:p>
    <w:p w:rsidR="00A04333" w:rsidRDefault="00A04333" w:rsidP="00A04333">
      <w:pPr>
        <w:ind w:right="237"/>
        <w:contextualSpacing/>
        <w:jc w:val="both"/>
        <w:rPr>
          <w:sz w:val="32"/>
          <w:szCs w:val="32"/>
        </w:rPr>
      </w:pPr>
    </w:p>
    <w:p w:rsidR="00A04333" w:rsidRPr="00395303" w:rsidRDefault="005E6486" w:rsidP="00A04333">
      <w:pPr>
        <w:ind w:right="237"/>
        <w:contextualSpacing/>
        <w:jc w:val="both"/>
        <w:rPr>
          <w:sz w:val="24"/>
          <w:szCs w:val="24"/>
        </w:rPr>
      </w:pPr>
      <w:r>
        <w:rPr>
          <w:b/>
          <w:i/>
          <w:sz w:val="24"/>
          <w:szCs w:val="24"/>
          <w:u w:val="single"/>
        </w:rPr>
        <w:lastRenderedPageBreak/>
        <w:t xml:space="preserve">6.2 </w:t>
      </w:r>
      <w:r w:rsidR="00395303" w:rsidRPr="00395303">
        <w:rPr>
          <w:b/>
          <w:i/>
          <w:sz w:val="24"/>
          <w:szCs w:val="24"/>
          <w:u w:val="single"/>
        </w:rPr>
        <w:t xml:space="preserve"> </w:t>
      </w:r>
      <w:r w:rsidR="00A04333" w:rsidRPr="00395303">
        <w:rPr>
          <w:b/>
          <w:i/>
          <w:sz w:val="24"/>
          <w:szCs w:val="24"/>
          <w:u w:val="single"/>
        </w:rPr>
        <w:t>Даватели на поштенски услуги на слободниот поштенски пазар</w:t>
      </w:r>
    </w:p>
    <w:p w:rsidR="005E6486" w:rsidRDefault="005E6486" w:rsidP="005E6486">
      <w:pPr>
        <w:ind w:right="237"/>
        <w:contextualSpacing/>
        <w:jc w:val="both"/>
        <w:rPr>
          <w:sz w:val="24"/>
          <w:szCs w:val="24"/>
        </w:rPr>
      </w:pPr>
    </w:p>
    <w:p w:rsidR="005E6486" w:rsidRDefault="005E6486" w:rsidP="005E6486">
      <w:pPr>
        <w:ind w:right="237" w:firstLine="851"/>
        <w:contextualSpacing/>
        <w:jc w:val="both"/>
        <w:rPr>
          <w:sz w:val="24"/>
          <w:szCs w:val="24"/>
        </w:rPr>
      </w:pPr>
      <w:r w:rsidRPr="005E6486">
        <w:rPr>
          <w:sz w:val="24"/>
          <w:szCs w:val="24"/>
        </w:rPr>
        <w:t>Свои единици, сортинг центри, и точки за пристап имаат и давателите на поштенските услуги на слободниот поштенски пазар, но секако прикажаните податоци треба да се земаат со одреден степен на претпазливост од причина што одредени даватели повеќе операции како што е сортирањето, магацин и сл. ги  вршат во истите простории.</w:t>
      </w:r>
      <w:r>
        <w:rPr>
          <w:sz w:val="24"/>
          <w:szCs w:val="24"/>
        </w:rPr>
        <w:t xml:space="preserve"> </w:t>
      </w:r>
    </w:p>
    <w:p w:rsidR="005E6486" w:rsidRPr="005E6486" w:rsidRDefault="005E6486" w:rsidP="005E6486">
      <w:pPr>
        <w:ind w:right="237" w:firstLine="851"/>
        <w:contextualSpacing/>
        <w:jc w:val="both"/>
        <w:rPr>
          <w:sz w:val="24"/>
          <w:szCs w:val="24"/>
        </w:rPr>
      </w:pPr>
    </w:p>
    <w:p w:rsidR="00A04333" w:rsidRDefault="00A04333" w:rsidP="005E6486">
      <w:pPr>
        <w:spacing w:after="0"/>
        <w:ind w:right="237"/>
        <w:jc w:val="center"/>
        <w:rPr>
          <w:i/>
          <w:sz w:val="24"/>
          <w:szCs w:val="24"/>
        </w:rPr>
      </w:pPr>
      <w:r w:rsidRPr="00A04333">
        <w:rPr>
          <w:rFonts w:ascii="Calibri" w:eastAsia="Times New Roman" w:hAnsi="Calibri" w:cs="Times New Roman"/>
          <w:i/>
          <w:sz w:val="24"/>
          <w:szCs w:val="24"/>
          <w:lang w:eastAsia="mk-MK"/>
        </w:rPr>
        <w:t>Слика 29: Точки за пристап</w:t>
      </w:r>
      <w:r w:rsidRPr="00A04333">
        <w:rPr>
          <w:i/>
          <w:sz w:val="24"/>
          <w:szCs w:val="24"/>
        </w:rPr>
        <w:t xml:space="preserve"> за обезбедување на поштенски пратки – даватели на поштенски</w:t>
      </w:r>
      <w:r>
        <w:rPr>
          <w:i/>
          <w:sz w:val="24"/>
          <w:szCs w:val="24"/>
        </w:rPr>
        <w:t xml:space="preserve"> услуги на слободниот пазар 2014/2013</w:t>
      </w:r>
      <w:r w:rsidRPr="00A04333">
        <w:rPr>
          <w:i/>
          <w:sz w:val="24"/>
          <w:szCs w:val="24"/>
        </w:rPr>
        <w:t xml:space="preserve"> година</w:t>
      </w:r>
    </w:p>
    <w:tbl>
      <w:tblPr>
        <w:tblpPr w:leftFromText="180" w:rightFromText="180" w:vertAnchor="text" w:horzAnchor="margin" w:tblpY="255"/>
        <w:tblW w:w="94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395"/>
        <w:gridCol w:w="2551"/>
        <w:gridCol w:w="2551"/>
      </w:tblGrid>
      <w:tr w:rsidR="00374691" w:rsidRPr="00A04333" w:rsidTr="00374691">
        <w:trPr>
          <w:trHeight w:val="786"/>
        </w:trPr>
        <w:tc>
          <w:tcPr>
            <w:tcW w:w="4395" w:type="dxa"/>
            <w:shd w:val="clear" w:color="auto" w:fill="E51F58"/>
            <w:noWrap/>
            <w:vAlign w:val="center"/>
            <w:hideMark/>
          </w:tcPr>
          <w:p w:rsidR="00374691" w:rsidRPr="00A04333" w:rsidRDefault="00374691" w:rsidP="00374691">
            <w:pPr>
              <w:spacing w:after="0"/>
              <w:ind w:right="237"/>
              <w:rPr>
                <w:rFonts w:ascii="Calibri" w:eastAsia="Calibri" w:hAnsi="Calibri" w:cs="Times New Roman"/>
                <w:b/>
                <w:bCs/>
                <w:color w:val="FFFFFF"/>
                <w:sz w:val="28"/>
                <w:szCs w:val="28"/>
                <w:lang w:val="en-US"/>
              </w:rPr>
            </w:pPr>
            <w:r w:rsidRPr="00A04333">
              <w:rPr>
                <w:rFonts w:ascii="Calibri" w:eastAsia="Calibri" w:hAnsi="Calibri" w:cs="Times New Roman"/>
                <w:b/>
                <w:bCs/>
                <w:color w:val="FFFFFF"/>
                <w:sz w:val="28"/>
                <w:szCs w:val="28"/>
                <w:lang w:val="en-US"/>
              </w:rPr>
              <w:t xml:space="preserve">Точки </w:t>
            </w:r>
            <w:r w:rsidRPr="00A04333">
              <w:rPr>
                <w:rFonts w:ascii="Calibri" w:eastAsia="Calibri" w:hAnsi="Calibri" w:cs="Times New Roman"/>
                <w:b/>
                <w:bCs/>
                <w:color w:val="FFFFFF"/>
                <w:sz w:val="28"/>
                <w:szCs w:val="28"/>
              </w:rPr>
              <w:t>з</w:t>
            </w:r>
            <w:r w:rsidRPr="00A04333">
              <w:rPr>
                <w:rFonts w:ascii="Calibri" w:eastAsia="Calibri" w:hAnsi="Calibri" w:cs="Times New Roman"/>
                <w:b/>
                <w:bCs/>
                <w:color w:val="FFFFFF"/>
                <w:sz w:val="28"/>
                <w:szCs w:val="28"/>
                <w:lang w:val="en-US"/>
              </w:rPr>
              <w:t xml:space="preserve">а пристап </w:t>
            </w:r>
          </w:p>
        </w:tc>
        <w:tc>
          <w:tcPr>
            <w:tcW w:w="2551" w:type="dxa"/>
            <w:shd w:val="clear" w:color="auto" w:fill="E51F58"/>
            <w:vAlign w:val="center"/>
          </w:tcPr>
          <w:p w:rsidR="00374691" w:rsidRPr="00A04333" w:rsidRDefault="00374691" w:rsidP="00374691">
            <w:pPr>
              <w:spacing w:after="0"/>
              <w:ind w:right="237"/>
              <w:jc w:val="center"/>
              <w:rPr>
                <w:rFonts w:ascii="Calibri" w:eastAsia="Calibri" w:hAnsi="Calibri" w:cs="Times New Roman"/>
                <w:b/>
                <w:bCs/>
                <w:color w:val="FFFFFF"/>
                <w:sz w:val="28"/>
                <w:szCs w:val="28"/>
              </w:rPr>
            </w:pPr>
            <w:r w:rsidRPr="00A04333">
              <w:rPr>
                <w:rFonts w:ascii="Calibri" w:eastAsia="Calibri" w:hAnsi="Calibri" w:cs="Times New Roman"/>
                <w:b/>
                <w:bCs/>
                <w:color w:val="FFFFFF"/>
                <w:sz w:val="28"/>
                <w:szCs w:val="28"/>
              </w:rPr>
              <w:t>2013 година</w:t>
            </w:r>
          </w:p>
        </w:tc>
        <w:tc>
          <w:tcPr>
            <w:tcW w:w="2551" w:type="dxa"/>
            <w:shd w:val="clear" w:color="auto" w:fill="E51F58"/>
            <w:noWrap/>
            <w:vAlign w:val="center"/>
          </w:tcPr>
          <w:p w:rsidR="00374691" w:rsidRPr="00A04333" w:rsidRDefault="00374691" w:rsidP="00374691">
            <w:pPr>
              <w:spacing w:after="0"/>
              <w:ind w:right="237"/>
              <w:jc w:val="center"/>
              <w:rPr>
                <w:rFonts w:ascii="Calibri" w:eastAsia="Calibri" w:hAnsi="Calibri" w:cs="Times New Roman"/>
                <w:b/>
                <w:bCs/>
                <w:color w:val="FFFFFF"/>
                <w:sz w:val="28"/>
                <w:szCs w:val="28"/>
              </w:rPr>
            </w:pPr>
            <w:r>
              <w:rPr>
                <w:rFonts w:ascii="Calibri" w:eastAsia="Calibri" w:hAnsi="Calibri" w:cs="Times New Roman"/>
                <w:b/>
                <w:bCs/>
                <w:color w:val="FFFFFF"/>
                <w:sz w:val="28"/>
                <w:szCs w:val="28"/>
              </w:rPr>
              <w:t>2014</w:t>
            </w:r>
            <w:r w:rsidRPr="00A04333">
              <w:rPr>
                <w:rFonts w:ascii="Calibri" w:eastAsia="Calibri" w:hAnsi="Calibri" w:cs="Times New Roman"/>
                <w:b/>
                <w:bCs/>
                <w:color w:val="FFFFFF"/>
                <w:sz w:val="28"/>
                <w:szCs w:val="28"/>
              </w:rPr>
              <w:t xml:space="preserve"> година</w:t>
            </w:r>
          </w:p>
        </w:tc>
      </w:tr>
      <w:tr w:rsidR="00374691" w:rsidRPr="00A04333" w:rsidTr="00374691">
        <w:trPr>
          <w:trHeight w:val="286"/>
        </w:trPr>
        <w:tc>
          <w:tcPr>
            <w:tcW w:w="4395" w:type="dxa"/>
            <w:shd w:val="clear" w:color="auto" w:fill="auto"/>
            <w:noWrap/>
            <w:vAlign w:val="bottom"/>
            <w:hideMark/>
          </w:tcPr>
          <w:p w:rsidR="00374691" w:rsidRPr="00A04333" w:rsidRDefault="00374691" w:rsidP="00374691">
            <w:pPr>
              <w:numPr>
                <w:ilvl w:val="0"/>
                <w:numId w:val="10"/>
              </w:numPr>
              <w:ind w:left="460" w:right="237"/>
              <w:contextualSpacing/>
              <w:rPr>
                <w:rFonts w:ascii="Calibri" w:eastAsia="Calibri" w:hAnsi="Calibri" w:cs="Times New Roman"/>
                <w:lang w:val="en-US"/>
              </w:rPr>
            </w:pPr>
            <w:r w:rsidRPr="00A04333">
              <w:rPr>
                <w:rFonts w:ascii="Calibri" w:eastAsia="Calibri" w:hAnsi="Calibri" w:cs="Times New Roman"/>
              </w:rPr>
              <w:t>Поштенски единици за прием на поштенски пратки</w:t>
            </w:r>
          </w:p>
        </w:tc>
        <w:tc>
          <w:tcPr>
            <w:tcW w:w="2551" w:type="dxa"/>
            <w:vAlign w:val="bottom"/>
          </w:tcPr>
          <w:p w:rsidR="00374691" w:rsidRPr="00A04333" w:rsidRDefault="00374691" w:rsidP="00374691">
            <w:pPr>
              <w:ind w:right="237"/>
              <w:jc w:val="center"/>
              <w:rPr>
                <w:rFonts w:ascii="Calibri" w:eastAsia="Calibri" w:hAnsi="Calibri" w:cs="Times New Roman"/>
              </w:rPr>
            </w:pPr>
            <w:r w:rsidRPr="00A04333">
              <w:rPr>
                <w:rFonts w:ascii="Calibri" w:eastAsia="Calibri" w:hAnsi="Calibri" w:cs="Times New Roman"/>
              </w:rPr>
              <w:t>107</w:t>
            </w:r>
          </w:p>
        </w:tc>
        <w:tc>
          <w:tcPr>
            <w:tcW w:w="2551" w:type="dxa"/>
            <w:shd w:val="clear" w:color="auto" w:fill="auto"/>
            <w:noWrap/>
            <w:vAlign w:val="bottom"/>
          </w:tcPr>
          <w:p w:rsidR="00374691" w:rsidRPr="00A04333" w:rsidRDefault="00374691" w:rsidP="00374691">
            <w:pPr>
              <w:ind w:right="237"/>
              <w:jc w:val="center"/>
              <w:rPr>
                <w:rFonts w:ascii="Calibri" w:eastAsia="Calibri" w:hAnsi="Calibri" w:cs="Times New Roman"/>
              </w:rPr>
            </w:pPr>
            <w:r>
              <w:rPr>
                <w:rFonts w:ascii="Calibri" w:eastAsia="Calibri" w:hAnsi="Calibri" w:cs="Times New Roman"/>
              </w:rPr>
              <w:t>94</w:t>
            </w:r>
          </w:p>
        </w:tc>
      </w:tr>
      <w:tr w:rsidR="00374691" w:rsidRPr="00A04333" w:rsidTr="00374691">
        <w:trPr>
          <w:trHeight w:val="286"/>
        </w:trPr>
        <w:tc>
          <w:tcPr>
            <w:tcW w:w="4395" w:type="dxa"/>
            <w:shd w:val="clear" w:color="auto" w:fill="auto"/>
            <w:noWrap/>
            <w:vAlign w:val="bottom"/>
            <w:hideMark/>
          </w:tcPr>
          <w:p w:rsidR="00374691" w:rsidRPr="00A04333" w:rsidRDefault="00374691" w:rsidP="00374691">
            <w:pPr>
              <w:numPr>
                <w:ilvl w:val="0"/>
                <w:numId w:val="10"/>
              </w:numPr>
              <w:ind w:left="460" w:right="237"/>
              <w:contextualSpacing/>
              <w:rPr>
                <w:rFonts w:ascii="Calibri" w:eastAsia="Calibri" w:hAnsi="Calibri" w:cs="Times New Roman"/>
                <w:lang w:val="en-US"/>
              </w:rPr>
            </w:pPr>
            <w:r w:rsidRPr="00A04333">
              <w:rPr>
                <w:rFonts w:ascii="Calibri" w:eastAsia="Calibri" w:hAnsi="Calibri" w:cs="Times New Roman"/>
                <w:lang w:val="en-US"/>
              </w:rPr>
              <w:t>Поштенски сандачиња</w:t>
            </w:r>
          </w:p>
        </w:tc>
        <w:tc>
          <w:tcPr>
            <w:tcW w:w="2551" w:type="dxa"/>
            <w:vAlign w:val="bottom"/>
          </w:tcPr>
          <w:p w:rsidR="00374691" w:rsidRPr="00A04333" w:rsidRDefault="00374691" w:rsidP="00374691">
            <w:pPr>
              <w:ind w:right="237"/>
              <w:jc w:val="center"/>
              <w:rPr>
                <w:rFonts w:ascii="Calibri" w:eastAsia="Calibri" w:hAnsi="Calibri" w:cs="Times New Roman"/>
              </w:rPr>
            </w:pPr>
            <w:r w:rsidRPr="00A04333">
              <w:rPr>
                <w:rFonts w:ascii="Calibri" w:eastAsia="Calibri" w:hAnsi="Calibri" w:cs="Times New Roman"/>
              </w:rPr>
              <w:t>/</w:t>
            </w:r>
          </w:p>
        </w:tc>
        <w:tc>
          <w:tcPr>
            <w:tcW w:w="2551" w:type="dxa"/>
            <w:shd w:val="clear" w:color="auto" w:fill="auto"/>
            <w:noWrap/>
            <w:vAlign w:val="bottom"/>
          </w:tcPr>
          <w:p w:rsidR="00374691" w:rsidRPr="00A04333" w:rsidRDefault="00374691" w:rsidP="00374691">
            <w:pPr>
              <w:ind w:right="237"/>
              <w:jc w:val="center"/>
              <w:rPr>
                <w:rFonts w:ascii="Calibri" w:eastAsia="Calibri" w:hAnsi="Calibri" w:cs="Times New Roman"/>
              </w:rPr>
            </w:pPr>
            <w:r>
              <w:rPr>
                <w:rFonts w:ascii="Calibri" w:eastAsia="Calibri" w:hAnsi="Calibri" w:cs="Times New Roman"/>
              </w:rPr>
              <w:t>/</w:t>
            </w:r>
          </w:p>
        </w:tc>
      </w:tr>
      <w:tr w:rsidR="00374691" w:rsidRPr="00A04333" w:rsidTr="00374691">
        <w:trPr>
          <w:trHeight w:val="286"/>
        </w:trPr>
        <w:tc>
          <w:tcPr>
            <w:tcW w:w="4395" w:type="dxa"/>
            <w:shd w:val="clear" w:color="auto" w:fill="auto"/>
            <w:noWrap/>
            <w:vAlign w:val="bottom"/>
            <w:hideMark/>
          </w:tcPr>
          <w:p w:rsidR="00374691" w:rsidRPr="00A04333" w:rsidRDefault="00374691" w:rsidP="00374691">
            <w:pPr>
              <w:numPr>
                <w:ilvl w:val="0"/>
                <w:numId w:val="10"/>
              </w:numPr>
              <w:ind w:left="460" w:right="237"/>
              <w:contextualSpacing/>
              <w:rPr>
                <w:rFonts w:ascii="Calibri" w:eastAsia="Calibri" w:hAnsi="Calibri" w:cs="Times New Roman"/>
                <w:lang w:val="en-US"/>
              </w:rPr>
            </w:pPr>
            <w:r w:rsidRPr="00A04333">
              <w:rPr>
                <w:rFonts w:ascii="Calibri" w:eastAsia="Calibri" w:hAnsi="Calibri" w:cs="Times New Roman"/>
                <w:lang w:val="en-US"/>
              </w:rPr>
              <w:t>Поштенски фахови</w:t>
            </w:r>
          </w:p>
        </w:tc>
        <w:tc>
          <w:tcPr>
            <w:tcW w:w="2551" w:type="dxa"/>
            <w:vAlign w:val="bottom"/>
          </w:tcPr>
          <w:p w:rsidR="00374691" w:rsidRPr="00A04333" w:rsidRDefault="00374691" w:rsidP="00374691">
            <w:pPr>
              <w:ind w:right="237"/>
              <w:jc w:val="center"/>
              <w:rPr>
                <w:rFonts w:ascii="Calibri" w:eastAsia="Calibri" w:hAnsi="Calibri" w:cs="Times New Roman"/>
              </w:rPr>
            </w:pPr>
            <w:r w:rsidRPr="00A04333">
              <w:rPr>
                <w:rFonts w:ascii="Calibri" w:eastAsia="Calibri" w:hAnsi="Calibri" w:cs="Times New Roman"/>
              </w:rPr>
              <w:t>/</w:t>
            </w:r>
          </w:p>
        </w:tc>
        <w:tc>
          <w:tcPr>
            <w:tcW w:w="2551" w:type="dxa"/>
            <w:shd w:val="clear" w:color="auto" w:fill="auto"/>
            <w:noWrap/>
            <w:vAlign w:val="bottom"/>
          </w:tcPr>
          <w:p w:rsidR="00374691" w:rsidRPr="00A04333" w:rsidRDefault="00374691" w:rsidP="00374691">
            <w:pPr>
              <w:ind w:right="237"/>
              <w:jc w:val="center"/>
              <w:rPr>
                <w:rFonts w:ascii="Calibri" w:eastAsia="Calibri" w:hAnsi="Calibri" w:cs="Times New Roman"/>
              </w:rPr>
            </w:pPr>
            <w:r>
              <w:rPr>
                <w:rFonts w:ascii="Calibri" w:eastAsia="Calibri" w:hAnsi="Calibri" w:cs="Times New Roman"/>
              </w:rPr>
              <w:t>/</w:t>
            </w:r>
          </w:p>
        </w:tc>
      </w:tr>
      <w:tr w:rsidR="00374691" w:rsidRPr="00A04333" w:rsidTr="00374691">
        <w:trPr>
          <w:trHeight w:val="286"/>
        </w:trPr>
        <w:tc>
          <w:tcPr>
            <w:tcW w:w="4395" w:type="dxa"/>
            <w:shd w:val="clear" w:color="auto" w:fill="auto"/>
            <w:noWrap/>
            <w:vAlign w:val="bottom"/>
          </w:tcPr>
          <w:p w:rsidR="00374691" w:rsidRPr="00A04333" w:rsidRDefault="00374691" w:rsidP="00374691">
            <w:pPr>
              <w:numPr>
                <w:ilvl w:val="0"/>
                <w:numId w:val="10"/>
              </w:numPr>
              <w:ind w:left="460" w:right="237"/>
              <w:contextualSpacing/>
              <w:rPr>
                <w:rFonts w:ascii="Calibri" w:eastAsia="Calibri" w:hAnsi="Calibri" w:cs="Times New Roman"/>
                <w:lang w:val="en-US"/>
              </w:rPr>
            </w:pPr>
            <w:r w:rsidRPr="00A04333">
              <w:rPr>
                <w:rFonts w:ascii="Calibri" w:eastAsia="Calibri" w:hAnsi="Calibri" w:cs="Times New Roman"/>
              </w:rPr>
              <w:t>Број на возила за обезбедување на услугите</w:t>
            </w:r>
          </w:p>
        </w:tc>
        <w:tc>
          <w:tcPr>
            <w:tcW w:w="2551" w:type="dxa"/>
            <w:vAlign w:val="bottom"/>
          </w:tcPr>
          <w:p w:rsidR="00374691" w:rsidRPr="00A04333" w:rsidRDefault="00374691" w:rsidP="00374691">
            <w:pPr>
              <w:ind w:right="237"/>
              <w:jc w:val="center"/>
              <w:rPr>
                <w:rFonts w:ascii="Calibri" w:eastAsia="Calibri" w:hAnsi="Calibri" w:cs="Times New Roman"/>
              </w:rPr>
            </w:pPr>
            <w:r w:rsidRPr="00A04333">
              <w:rPr>
                <w:rFonts w:ascii="Calibri" w:eastAsia="Calibri" w:hAnsi="Calibri" w:cs="Times New Roman"/>
              </w:rPr>
              <w:t>202</w:t>
            </w:r>
          </w:p>
        </w:tc>
        <w:tc>
          <w:tcPr>
            <w:tcW w:w="2551" w:type="dxa"/>
            <w:shd w:val="clear" w:color="auto" w:fill="auto"/>
            <w:noWrap/>
            <w:vAlign w:val="bottom"/>
          </w:tcPr>
          <w:p w:rsidR="00374691" w:rsidRPr="00A04333" w:rsidRDefault="00374691" w:rsidP="00374691">
            <w:pPr>
              <w:ind w:right="237"/>
              <w:jc w:val="center"/>
              <w:rPr>
                <w:rFonts w:ascii="Calibri" w:eastAsia="Calibri" w:hAnsi="Calibri" w:cs="Times New Roman"/>
              </w:rPr>
            </w:pPr>
            <w:r>
              <w:rPr>
                <w:rFonts w:ascii="Calibri" w:eastAsia="Calibri" w:hAnsi="Calibri" w:cs="Times New Roman"/>
              </w:rPr>
              <w:t>193</w:t>
            </w:r>
          </w:p>
        </w:tc>
      </w:tr>
    </w:tbl>
    <w:p w:rsidR="00A04333" w:rsidRDefault="00A04333" w:rsidP="00374691">
      <w:pPr>
        <w:spacing w:after="0"/>
        <w:ind w:right="237"/>
        <w:jc w:val="both"/>
        <w:rPr>
          <w:sz w:val="32"/>
          <w:szCs w:val="32"/>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5E6486" w:rsidRDefault="005E6486" w:rsidP="005E6486">
      <w:pPr>
        <w:spacing w:after="0"/>
        <w:ind w:right="237"/>
        <w:jc w:val="center"/>
        <w:rPr>
          <w:sz w:val="24"/>
          <w:szCs w:val="24"/>
        </w:rPr>
      </w:pPr>
    </w:p>
    <w:p w:rsidR="00A53CDA" w:rsidRPr="005E6486" w:rsidRDefault="00A53CDA" w:rsidP="005E6486">
      <w:pPr>
        <w:spacing w:after="0"/>
        <w:ind w:right="237"/>
        <w:jc w:val="center"/>
        <w:rPr>
          <w:rFonts w:ascii="Calibri" w:eastAsia="Times New Roman" w:hAnsi="Calibri" w:cs="Times New Roman"/>
          <w:i/>
          <w:sz w:val="24"/>
          <w:szCs w:val="24"/>
          <w:lang w:eastAsia="mk-MK"/>
        </w:rPr>
      </w:pPr>
      <w:r w:rsidRPr="00A53CDA">
        <w:rPr>
          <w:sz w:val="24"/>
          <w:szCs w:val="24"/>
        </w:rPr>
        <w:lastRenderedPageBreak/>
        <w:t xml:space="preserve">Слика 30: Број на точки за пристап и возила кај </w:t>
      </w:r>
      <w:r w:rsidRPr="00A53CDA">
        <w:rPr>
          <w:rFonts w:ascii="Calibri" w:eastAsia="Times New Roman" w:hAnsi="Calibri" w:cs="Times New Roman"/>
          <w:i/>
          <w:sz w:val="24"/>
          <w:szCs w:val="24"/>
          <w:lang w:eastAsia="mk-MK"/>
        </w:rPr>
        <w:t xml:space="preserve">даватели на поштенски услуги на слободниот поштенски пазар </w:t>
      </w:r>
      <w:r>
        <w:rPr>
          <w:rFonts w:ascii="Calibri" w:eastAsia="Times New Roman" w:hAnsi="Calibri" w:cs="Times New Roman"/>
          <w:i/>
          <w:sz w:val="24"/>
          <w:szCs w:val="24"/>
          <w:lang w:val="en-US" w:eastAsia="mk-MK"/>
        </w:rPr>
        <w:t>- 20</w:t>
      </w:r>
      <w:r>
        <w:rPr>
          <w:rFonts w:ascii="Calibri" w:eastAsia="Times New Roman" w:hAnsi="Calibri" w:cs="Times New Roman"/>
          <w:i/>
          <w:sz w:val="24"/>
          <w:szCs w:val="24"/>
          <w:lang w:eastAsia="mk-MK"/>
        </w:rPr>
        <w:t>14</w:t>
      </w:r>
      <w:r w:rsidRPr="00A53CDA">
        <w:rPr>
          <w:rFonts w:ascii="Calibri" w:eastAsia="Times New Roman" w:hAnsi="Calibri" w:cs="Times New Roman"/>
          <w:i/>
          <w:sz w:val="24"/>
          <w:szCs w:val="24"/>
          <w:lang w:val="en-US" w:eastAsia="mk-MK"/>
        </w:rPr>
        <w:t xml:space="preserve"> година</w:t>
      </w:r>
    </w:p>
    <w:p w:rsidR="00A53CDA" w:rsidRPr="00A53CDA" w:rsidRDefault="00A53CDA" w:rsidP="00A53CDA">
      <w:pPr>
        <w:ind w:right="237"/>
        <w:contextualSpacing/>
        <w:jc w:val="both"/>
        <w:rPr>
          <w:sz w:val="24"/>
          <w:szCs w:val="24"/>
        </w:rPr>
      </w:pPr>
      <w:r w:rsidRPr="00A53CDA">
        <w:rPr>
          <w:noProof/>
          <w:sz w:val="24"/>
          <w:szCs w:val="24"/>
          <w:lang w:eastAsia="mk-MK"/>
        </w:rPr>
        <w:drawing>
          <wp:inline distT="0" distB="0" distL="0" distR="0" wp14:anchorId="1DA7F9FE" wp14:editId="502E3467">
            <wp:extent cx="6105525" cy="3562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72CC" w:rsidRPr="005E6486" w:rsidRDefault="001872CC" w:rsidP="005E6486">
      <w:pPr>
        <w:pStyle w:val="ListParagraph"/>
        <w:numPr>
          <w:ilvl w:val="0"/>
          <w:numId w:val="19"/>
        </w:numPr>
        <w:ind w:right="237"/>
        <w:rPr>
          <w:b/>
          <w:i/>
          <w:sz w:val="24"/>
          <w:szCs w:val="24"/>
          <w:u w:val="single"/>
          <w:lang w:val="en-US"/>
        </w:rPr>
      </w:pPr>
      <w:r w:rsidRPr="005E6486">
        <w:rPr>
          <w:b/>
          <w:i/>
          <w:sz w:val="24"/>
          <w:szCs w:val="24"/>
          <w:u w:val="single"/>
        </w:rPr>
        <w:t>Остварени приходи  од обезбедување на поштенските услуги</w:t>
      </w:r>
    </w:p>
    <w:p w:rsidR="005E6486" w:rsidRPr="005E6486" w:rsidRDefault="005E6486" w:rsidP="005E6486">
      <w:pPr>
        <w:pStyle w:val="ListParagraph"/>
        <w:ind w:left="1380" w:right="237"/>
        <w:rPr>
          <w:b/>
          <w:i/>
          <w:sz w:val="24"/>
          <w:szCs w:val="24"/>
          <w:u w:val="single"/>
          <w:lang w:val="en-US"/>
        </w:rPr>
      </w:pPr>
    </w:p>
    <w:p w:rsidR="001872CC" w:rsidRPr="005E6486" w:rsidRDefault="001872CC" w:rsidP="005E6486">
      <w:pPr>
        <w:pStyle w:val="ListParagraph"/>
        <w:numPr>
          <w:ilvl w:val="1"/>
          <w:numId w:val="19"/>
        </w:numPr>
        <w:ind w:right="237"/>
        <w:rPr>
          <w:b/>
          <w:i/>
          <w:sz w:val="24"/>
          <w:szCs w:val="24"/>
        </w:rPr>
      </w:pPr>
      <w:r w:rsidRPr="005E6486">
        <w:rPr>
          <w:b/>
          <w:i/>
          <w:sz w:val="24"/>
          <w:szCs w:val="24"/>
        </w:rPr>
        <w:t>Вкупни приходи кај даватели на поштенските услуги  во 201</w:t>
      </w:r>
      <w:r w:rsidRPr="005E6486">
        <w:rPr>
          <w:b/>
          <w:i/>
          <w:sz w:val="24"/>
          <w:szCs w:val="24"/>
          <w:lang w:val="en-US"/>
        </w:rPr>
        <w:t>4</w:t>
      </w:r>
      <w:r w:rsidRPr="005E6486">
        <w:rPr>
          <w:b/>
          <w:i/>
          <w:sz w:val="24"/>
          <w:szCs w:val="24"/>
        </w:rPr>
        <w:t xml:space="preserve"> година</w:t>
      </w:r>
    </w:p>
    <w:p w:rsidR="005E6486" w:rsidRPr="005E6486" w:rsidRDefault="005E6486" w:rsidP="005E6486">
      <w:pPr>
        <w:pStyle w:val="ListParagraph"/>
        <w:ind w:left="1380" w:right="237"/>
        <w:rPr>
          <w:b/>
          <w:i/>
          <w:sz w:val="24"/>
          <w:szCs w:val="24"/>
        </w:rPr>
      </w:pPr>
    </w:p>
    <w:p w:rsidR="001872CC" w:rsidRDefault="001872CC" w:rsidP="001872CC">
      <w:pPr>
        <w:spacing w:after="0"/>
        <w:ind w:right="237"/>
        <w:jc w:val="both"/>
        <w:rPr>
          <w:i/>
          <w:sz w:val="24"/>
          <w:szCs w:val="24"/>
        </w:rPr>
      </w:pPr>
      <w:r w:rsidRPr="0070648E">
        <w:rPr>
          <w:rFonts w:ascii="Calibri" w:eastAsia="Times New Roman" w:hAnsi="Calibri" w:cs="Times New Roman"/>
          <w:i/>
          <w:sz w:val="24"/>
          <w:szCs w:val="24"/>
          <w:lang w:eastAsia="mk-MK"/>
        </w:rPr>
        <w:t>Слика 31: Движење на приходите кај давателите на поштенските услуги 20</w:t>
      </w:r>
      <w:r w:rsidRPr="0070648E">
        <w:rPr>
          <w:rFonts w:ascii="Calibri" w:eastAsia="Times New Roman" w:hAnsi="Calibri" w:cs="Times New Roman"/>
          <w:i/>
          <w:sz w:val="24"/>
          <w:szCs w:val="24"/>
          <w:lang w:val="en-US" w:eastAsia="mk-MK"/>
        </w:rPr>
        <w:t>09</w:t>
      </w:r>
      <w:r w:rsidRPr="0070648E">
        <w:rPr>
          <w:rFonts w:ascii="Calibri" w:eastAsia="Times New Roman" w:hAnsi="Calibri" w:cs="Times New Roman"/>
          <w:i/>
          <w:sz w:val="24"/>
          <w:szCs w:val="24"/>
          <w:lang w:eastAsia="mk-MK"/>
        </w:rPr>
        <w:t>/2014 година</w:t>
      </w:r>
      <w:r>
        <w:rPr>
          <w:b/>
          <w:i/>
          <w:sz w:val="24"/>
          <w:szCs w:val="24"/>
        </w:rPr>
        <w:t xml:space="preserve"> </w:t>
      </w:r>
      <w:r>
        <w:rPr>
          <w:i/>
          <w:sz w:val="24"/>
          <w:szCs w:val="24"/>
        </w:rPr>
        <w:t xml:space="preserve">(изразено во </w:t>
      </w:r>
      <w:r w:rsidRPr="00440FFA">
        <w:rPr>
          <w:i/>
          <w:sz w:val="24"/>
          <w:szCs w:val="24"/>
        </w:rPr>
        <w:t>денари</w:t>
      </w:r>
      <w:r>
        <w:rPr>
          <w:i/>
          <w:sz w:val="24"/>
          <w:szCs w:val="24"/>
        </w:rPr>
        <w:t>)</w:t>
      </w:r>
    </w:p>
    <w:p w:rsidR="001872CC" w:rsidRPr="00A579DC" w:rsidRDefault="001872CC" w:rsidP="001872CC">
      <w:pPr>
        <w:spacing w:after="0"/>
        <w:ind w:right="237"/>
        <w:jc w:val="both"/>
        <w:rPr>
          <w:b/>
          <w:i/>
          <w:sz w:val="24"/>
          <w:szCs w:val="24"/>
        </w:rPr>
      </w:pPr>
    </w:p>
    <w:p w:rsidR="001872CC" w:rsidRDefault="001872CC" w:rsidP="001872CC">
      <w:pPr>
        <w:ind w:right="237"/>
        <w:rPr>
          <w:sz w:val="24"/>
          <w:szCs w:val="24"/>
        </w:rPr>
      </w:pPr>
      <w:r>
        <w:rPr>
          <w:noProof/>
          <w:lang w:eastAsia="mk-MK"/>
        </w:rPr>
        <w:drawing>
          <wp:inline distT="0" distB="0" distL="0" distR="0" wp14:anchorId="72CCFDAC" wp14:editId="3D2CAB0B">
            <wp:extent cx="5734050" cy="27051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72CC" w:rsidRPr="001872CC" w:rsidRDefault="001872CC" w:rsidP="001872CC">
      <w:pPr>
        <w:ind w:right="237"/>
        <w:rPr>
          <w:b/>
          <w:i/>
          <w:sz w:val="32"/>
          <w:szCs w:val="32"/>
          <w:u w:val="single"/>
          <w:lang w:val="en-US"/>
        </w:rPr>
      </w:pPr>
    </w:p>
    <w:p w:rsidR="005E6486" w:rsidRDefault="005E6486" w:rsidP="005E6486">
      <w:pPr>
        <w:ind w:right="237" w:firstLine="851"/>
        <w:jc w:val="both"/>
        <w:rPr>
          <w:sz w:val="24"/>
          <w:szCs w:val="24"/>
        </w:rPr>
      </w:pPr>
      <w:r>
        <w:rPr>
          <w:sz w:val="24"/>
          <w:szCs w:val="24"/>
        </w:rPr>
        <w:t>Вкупниот приход кај сите даватели на поштенски услуги во 201</w:t>
      </w:r>
      <w:r>
        <w:rPr>
          <w:sz w:val="24"/>
          <w:szCs w:val="24"/>
          <w:lang w:val="en-US"/>
        </w:rPr>
        <w:t>4</w:t>
      </w:r>
      <w:r>
        <w:rPr>
          <w:sz w:val="24"/>
          <w:szCs w:val="24"/>
        </w:rPr>
        <w:t xml:space="preserve"> година во однос на 201</w:t>
      </w:r>
      <w:r>
        <w:rPr>
          <w:sz w:val="24"/>
          <w:szCs w:val="24"/>
          <w:lang w:val="en-US"/>
        </w:rPr>
        <w:t>3</w:t>
      </w:r>
      <w:r>
        <w:rPr>
          <w:sz w:val="24"/>
          <w:szCs w:val="24"/>
        </w:rPr>
        <w:t xml:space="preserve"> година е намален за </w:t>
      </w:r>
      <w:r w:rsidR="00A53B16">
        <w:rPr>
          <w:sz w:val="24"/>
          <w:szCs w:val="24"/>
        </w:rPr>
        <w:t>1,85</w:t>
      </w:r>
      <w:r>
        <w:rPr>
          <w:sz w:val="24"/>
          <w:szCs w:val="24"/>
        </w:rPr>
        <w:t xml:space="preserve"> %.</w:t>
      </w:r>
    </w:p>
    <w:p w:rsidR="00413370" w:rsidRPr="00632C71" w:rsidRDefault="00413370" w:rsidP="00413370">
      <w:pPr>
        <w:ind w:right="237"/>
        <w:jc w:val="both"/>
        <w:rPr>
          <w:b/>
          <w:sz w:val="24"/>
          <w:szCs w:val="24"/>
        </w:rPr>
      </w:pPr>
      <w:r w:rsidRPr="00632C71">
        <w:rPr>
          <w:b/>
          <w:i/>
          <w:sz w:val="24"/>
          <w:szCs w:val="24"/>
        </w:rPr>
        <w:t xml:space="preserve">Процент на вкупните остварени приходи од поштенскиот сектор во однос на вкупните приходи во Република Македонија изнесува </w:t>
      </w:r>
      <w:r w:rsidR="00084004" w:rsidRPr="00632C71">
        <w:rPr>
          <w:b/>
          <w:i/>
          <w:sz w:val="24"/>
          <w:szCs w:val="24"/>
          <w:lang w:val="en-US"/>
        </w:rPr>
        <w:t>0.</w:t>
      </w:r>
      <w:r w:rsidRPr="00632C71">
        <w:rPr>
          <w:b/>
          <w:i/>
          <w:sz w:val="24"/>
          <w:szCs w:val="24"/>
        </w:rPr>
        <w:t>42% во однос на вкупниот остварен БДП во 2014 година</w:t>
      </w:r>
      <w:r w:rsidRPr="00632C71">
        <w:rPr>
          <w:b/>
          <w:sz w:val="24"/>
          <w:szCs w:val="24"/>
        </w:rPr>
        <w:t xml:space="preserve"> </w:t>
      </w:r>
      <w:r w:rsidR="00C1682A">
        <w:rPr>
          <w:b/>
          <w:sz w:val="24"/>
          <w:szCs w:val="24"/>
        </w:rPr>
        <w:t xml:space="preserve"> (приходи од поштенски услуги 2,208,</w:t>
      </w:r>
      <w:r w:rsidRPr="00632C71">
        <w:rPr>
          <w:b/>
          <w:sz w:val="24"/>
          <w:szCs w:val="24"/>
        </w:rPr>
        <w:t>220</w:t>
      </w:r>
      <w:r w:rsidR="00C1682A">
        <w:rPr>
          <w:b/>
          <w:sz w:val="24"/>
          <w:szCs w:val="24"/>
        </w:rPr>
        <w:t>,</w:t>
      </w:r>
      <w:r w:rsidRPr="00632C71">
        <w:rPr>
          <w:b/>
          <w:sz w:val="24"/>
          <w:szCs w:val="24"/>
        </w:rPr>
        <w:t>010 денари, а вкупно во Република Македонија 525,620,000,000 денари).</w:t>
      </w:r>
    </w:p>
    <w:p w:rsidR="005E6486" w:rsidRPr="005E7DF2" w:rsidRDefault="005E6486" w:rsidP="00413370">
      <w:pPr>
        <w:ind w:right="237"/>
        <w:jc w:val="both"/>
        <w:rPr>
          <w:sz w:val="24"/>
          <w:szCs w:val="24"/>
        </w:rPr>
      </w:pPr>
    </w:p>
    <w:p w:rsidR="00413370" w:rsidRPr="0070648E" w:rsidRDefault="00413370" w:rsidP="005E6486">
      <w:pPr>
        <w:spacing w:after="0"/>
        <w:ind w:right="237"/>
        <w:jc w:val="center"/>
        <w:rPr>
          <w:rFonts w:ascii="Calibri" w:eastAsia="Times New Roman" w:hAnsi="Calibri" w:cs="Times New Roman"/>
          <w:i/>
          <w:sz w:val="24"/>
          <w:szCs w:val="24"/>
          <w:lang w:eastAsia="mk-MK"/>
        </w:rPr>
      </w:pPr>
      <w:r w:rsidRPr="0070648E">
        <w:rPr>
          <w:rFonts w:ascii="Calibri" w:eastAsia="Times New Roman" w:hAnsi="Calibri" w:cs="Times New Roman"/>
          <w:i/>
          <w:sz w:val="24"/>
          <w:szCs w:val="24"/>
          <w:lang w:eastAsia="mk-MK"/>
        </w:rPr>
        <w:t>Слика 32: Движење на приходите кај Македонска пошта 2009/2014 година</w:t>
      </w:r>
    </w:p>
    <w:p w:rsidR="00413370" w:rsidRPr="00A579DC" w:rsidRDefault="00413370" w:rsidP="00413370">
      <w:pPr>
        <w:spacing w:after="0"/>
        <w:ind w:right="237"/>
        <w:jc w:val="both"/>
        <w:rPr>
          <w:b/>
          <w:i/>
          <w:sz w:val="24"/>
          <w:szCs w:val="24"/>
        </w:rPr>
      </w:pPr>
    </w:p>
    <w:p w:rsidR="00413370" w:rsidRDefault="00413370" w:rsidP="00413370">
      <w:pPr>
        <w:spacing w:after="0"/>
        <w:ind w:right="237"/>
        <w:jc w:val="both"/>
        <w:rPr>
          <w:sz w:val="24"/>
          <w:szCs w:val="24"/>
        </w:rPr>
      </w:pPr>
      <w:r>
        <w:rPr>
          <w:noProof/>
          <w:lang w:eastAsia="mk-MK"/>
        </w:rPr>
        <w:drawing>
          <wp:inline distT="0" distB="0" distL="0" distR="0" wp14:anchorId="45A90269" wp14:editId="7FCE3F59">
            <wp:extent cx="5915025" cy="30861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4691" w:rsidRDefault="00374691" w:rsidP="00374691">
      <w:pPr>
        <w:spacing w:after="0"/>
        <w:ind w:right="237"/>
        <w:jc w:val="both"/>
        <w:rPr>
          <w:sz w:val="32"/>
          <w:szCs w:val="32"/>
        </w:rPr>
      </w:pPr>
    </w:p>
    <w:p w:rsidR="0070648E" w:rsidRPr="0070648E" w:rsidRDefault="0070648E" w:rsidP="005E6486">
      <w:pPr>
        <w:spacing w:after="0"/>
        <w:ind w:right="237"/>
        <w:jc w:val="center"/>
        <w:rPr>
          <w:rFonts w:ascii="Calibri" w:eastAsia="Times New Roman" w:hAnsi="Calibri" w:cs="Times New Roman"/>
          <w:i/>
          <w:sz w:val="24"/>
          <w:szCs w:val="24"/>
          <w:lang w:eastAsia="mk-MK"/>
        </w:rPr>
      </w:pPr>
      <w:r w:rsidRPr="0070648E">
        <w:rPr>
          <w:noProof/>
          <w:sz w:val="24"/>
          <w:szCs w:val="24"/>
          <w:lang w:eastAsia="mk-MK"/>
        </w:rPr>
        <w:t>Слика 33:</w:t>
      </w:r>
      <w:r w:rsidRPr="0070648E">
        <w:rPr>
          <w:noProof/>
          <w:lang w:eastAsia="mk-MK"/>
        </w:rPr>
        <w:t xml:space="preserve"> </w:t>
      </w:r>
      <w:r w:rsidRPr="0070648E">
        <w:rPr>
          <w:rFonts w:ascii="Calibri" w:eastAsia="Times New Roman" w:hAnsi="Calibri" w:cs="Times New Roman"/>
          <w:i/>
          <w:sz w:val="24"/>
          <w:szCs w:val="24"/>
          <w:lang w:eastAsia="mk-MK"/>
        </w:rPr>
        <w:t xml:space="preserve">Движење на приходите кај даватели на поштенски услуги на слободниот поштенски пазар </w:t>
      </w:r>
      <w:r w:rsidRPr="0070648E">
        <w:rPr>
          <w:rFonts w:ascii="Calibri" w:eastAsia="Times New Roman" w:hAnsi="Calibri" w:cs="Times New Roman"/>
          <w:i/>
          <w:sz w:val="24"/>
          <w:szCs w:val="24"/>
          <w:lang w:val="en-US" w:eastAsia="mk-MK"/>
        </w:rPr>
        <w:t xml:space="preserve">– </w:t>
      </w:r>
      <w:r w:rsidRPr="0070648E">
        <w:rPr>
          <w:rFonts w:ascii="Calibri" w:eastAsia="Times New Roman" w:hAnsi="Calibri" w:cs="Times New Roman"/>
          <w:i/>
          <w:sz w:val="24"/>
          <w:szCs w:val="24"/>
          <w:lang w:eastAsia="mk-MK"/>
        </w:rPr>
        <w:t>20</w:t>
      </w:r>
      <w:r w:rsidRPr="0070648E">
        <w:rPr>
          <w:rFonts w:ascii="Calibri" w:eastAsia="Times New Roman" w:hAnsi="Calibri" w:cs="Times New Roman"/>
          <w:i/>
          <w:sz w:val="24"/>
          <w:szCs w:val="24"/>
          <w:lang w:val="en-US" w:eastAsia="mk-MK"/>
        </w:rPr>
        <w:t>10</w:t>
      </w:r>
      <w:r w:rsidRPr="0070648E">
        <w:rPr>
          <w:rFonts w:ascii="Calibri" w:eastAsia="Times New Roman" w:hAnsi="Calibri" w:cs="Times New Roman"/>
          <w:i/>
          <w:sz w:val="24"/>
          <w:szCs w:val="24"/>
          <w:lang w:eastAsia="mk-MK"/>
        </w:rPr>
        <w:t>/</w:t>
      </w:r>
      <w:r w:rsidRPr="0070648E">
        <w:rPr>
          <w:rFonts w:ascii="Calibri" w:eastAsia="Times New Roman" w:hAnsi="Calibri" w:cs="Times New Roman"/>
          <w:i/>
          <w:sz w:val="24"/>
          <w:szCs w:val="24"/>
          <w:lang w:val="en-US" w:eastAsia="mk-MK"/>
        </w:rPr>
        <w:t>201</w:t>
      </w:r>
      <w:r>
        <w:rPr>
          <w:rFonts w:ascii="Calibri" w:eastAsia="Times New Roman" w:hAnsi="Calibri" w:cs="Times New Roman"/>
          <w:i/>
          <w:sz w:val="24"/>
          <w:szCs w:val="24"/>
          <w:lang w:eastAsia="mk-MK"/>
        </w:rPr>
        <w:t>4</w:t>
      </w:r>
      <w:r w:rsidRPr="0070648E">
        <w:rPr>
          <w:rFonts w:ascii="Calibri" w:eastAsia="Times New Roman" w:hAnsi="Calibri" w:cs="Times New Roman"/>
          <w:i/>
          <w:sz w:val="24"/>
          <w:szCs w:val="24"/>
          <w:lang w:val="en-US" w:eastAsia="mk-MK"/>
        </w:rPr>
        <w:t xml:space="preserve"> година</w:t>
      </w:r>
    </w:p>
    <w:p w:rsidR="0070648E" w:rsidRDefault="0070648E" w:rsidP="00374691">
      <w:pPr>
        <w:spacing w:after="0"/>
        <w:ind w:right="237"/>
        <w:jc w:val="both"/>
        <w:rPr>
          <w:sz w:val="32"/>
          <w:szCs w:val="32"/>
        </w:rPr>
      </w:pPr>
    </w:p>
    <w:p w:rsidR="00D035FB" w:rsidRDefault="0070648E" w:rsidP="00374691">
      <w:pPr>
        <w:spacing w:after="0"/>
        <w:ind w:right="237"/>
        <w:jc w:val="both"/>
        <w:rPr>
          <w:sz w:val="32"/>
          <w:szCs w:val="32"/>
        </w:rPr>
      </w:pPr>
      <w:r>
        <w:rPr>
          <w:noProof/>
          <w:lang w:eastAsia="mk-MK"/>
        </w:rPr>
        <w:lastRenderedPageBreak/>
        <w:drawing>
          <wp:inline distT="0" distB="0" distL="0" distR="0" wp14:anchorId="2C8552A5" wp14:editId="11C04369">
            <wp:extent cx="5915025" cy="3276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648E" w:rsidRDefault="0070648E" w:rsidP="00D035FB">
      <w:pPr>
        <w:rPr>
          <w:sz w:val="32"/>
          <w:szCs w:val="32"/>
        </w:rPr>
      </w:pPr>
    </w:p>
    <w:p w:rsidR="00D035FB" w:rsidRPr="00897577" w:rsidRDefault="00D035FB" w:rsidP="005E6486">
      <w:pPr>
        <w:ind w:right="237" w:firstLine="851"/>
        <w:jc w:val="both"/>
        <w:rPr>
          <w:sz w:val="24"/>
          <w:szCs w:val="24"/>
          <w:lang w:val="en-US"/>
        </w:rPr>
      </w:pPr>
      <w:r>
        <w:rPr>
          <w:sz w:val="24"/>
          <w:szCs w:val="24"/>
        </w:rPr>
        <w:t>Давателите на поштенските услуги на слободниот поштенски пазар бележат значителен пораст на приходите во 2014 година, односно во однос на 2013 вкупниот приход е зголемен за 14%, додека во однос на 2012 за 72%, што уште еднаш се потврдува фактот дека конкуренцијата на пазарот на поштенските услуги зазема значително место на овој пазар.</w:t>
      </w:r>
    </w:p>
    <w:p w:rsidR="00D035FB" w:rsidRDefault="00D035FB" w:rsidP="005E6486">
      <w:pPr>
        <w:spacing w:after="0"/>
        <w:ind w:right="237" w:firstLine="851"/>
        <w:jc w:val="both"/>
        <w:rPr>
          <w:rFonts w:ascii="Calibri" w:eastAsia="Times New Roman" w:hAnsi="Calibri" w:cs="Times New Roman"/>
          <w:i/>
          <w:sz w:val="24"/>
          <w:szCs w:val="24"/>
          <w:lang w:eastAsia="mk-MK"/>
        </w:rPr>
      </w:pPr>
      <w:r w:rsidRPr="00D035FB">
        <w:rPr>
          <w:rFonts w:ascii="Calibri" w:eastAsia="Times New Roman" w:hAnsi="Calibri" w:cs="Times New Roman"/>
          <w:i/>
          <w:sz w:val="24"/>
          <w:szCs w:val="24"/>
          <w:lang w:eastAsia="mk-MK"/>
        </w:rPr>
        <w:t>Слика 34: Движење на приходите кај Македонска пошта и кај даватели на поштенски услу</w:t>
      </w:r>
      <w:r>
        <w:rPr>
          <w:rFonts w:ascii="Calibri" w:eastAsia="Times New Roman" w:hAnsi="Calibri" w:cs="Times New Roman"/>
          <w:i/>
          <w:sz w:val="24"/>
          <w:szCs w:val="24"/>
          <w:lang w:eastAsia="mk-MK"/>
        </w:rPr>
        <w:t>ги на слободниот пазар 2010/2014</w:t>
      </w:r>
      <w:r w:rsidRPr="00D035FB">
        <w:rPr>
          <w:rFonts w:ascii="Calibri" w:eastAsia="Times New Roman" w:hAnsi="Calibri" w:cs="Times New Roman"/>
          <w:i/>
          <w:sz w:val="24"/>
          <w:szCs w:val="24"/>
          <w:lang w:eastAsia="mk-MK"/>
        </w:rPr>
        <w:t xml:space="preserve"> година</w:t>
      </w:r>
    </w:p>
    <w:p w:rsidR="00D035FB" w:rsidRPr="00D035FB" w:rsidRDefault="00D035FB" w:rsidP="00D035FB">
      <w:pPr>
        <w:spacing w:after="0"/>
        <w:ind w:right="237"/>
        <w:jc w:val="both"/>
        <w:rPr>
          <w:rFonts w:ascii="Calibri" w:eastAsia="Times New Roman" w:hAnsi="Calibri" w:cs="Times New Roman"/>
          <w:i/>
          <w:sz w:val="24"/>
          <w:szCs w:val="24"/>
          <w:lang w:eastAsia="mk-MK"/>
        </w:rPr>
      </w:pPr>
    </w:p>
    <w:p w:rsidR="00F4494E" w:rsidRPr="005E6486" w:rsidRDefault="00D035FB" w:rsidP="00F4494E">
      <w:pPr>
        <w:ind w:right="237"/>
        <w:rPr>
          <w:sz w:val="24"/>
          <w:szCs w:val="24"/>
        </w:rPr>
      </w:pPr>
      <w:r>
        <w:rPr>
          <w:noProof/>
          <w:lang w:eastAsia="mk-MK"/>
        </w:rPr>
        <w:lastRenderedPageBreak/>
        <w:drawing>
          <wp:inline distT="0" distB="0" distL="0" distR="0" wp14:anchorId="713B434C" wp14:editId="0991B86B">
            <wp:extent cx="5981700" cy="35909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494E" w:rsidRPr="005E6486" w:rsidRDefault="00F4494E" w:rsidP="005E6486">
      <w:pPr>
        <w:pStyle w:val="ListParagraph"/>
        <w:numPr>
          <w:ilvl w:val="0"/>
          <w:numId w:val="19"/>
        </w:numPr>
        <w:ind w:right="237"/>
        <w:rPr>
          <w:b/>
          <w:i/>
          <w:sz w:val="24"/>
          <w:szCs w:val="24"/>
          <w:u w:val="single"/>
        </w:rPr>
      </w:pPr>
      <w:r w:rsidRPr="005E6486">
        <w:rPr>
          <w:b/>
          <w:i/>
          <w:sz w:val="24"/>
          <w:szCs w:val="24"/>
          <w:u w:val="single"/>
        </w:rPr>
        <w:t>Податоци за безбедност и рекламации за поштенски пратки</w:t>
      </w:r>
    </w:p>
    <w:p w:rsidR="00F4494E" w:rsidRDefault="00F4494E" w:rsidP="00F4494E">
      <w:pPr>
        <w:pStyle w:val="ListParagraph"/>
        <w:ind w:left="851" w:right="237"/>
        <w:rPr>
          <w:b/>
          <w:i/>
          <w:sz w:val="28"/>
          <w:szCs w:val="28"/>
          <w:u w:val="single"/>
        </w:rPr>
      </w:pPr>
    </w:p>
    <w:p w:rsidR="00F4494E" w:rsidRDefault="00F4494E" w:rsidP="005E6486">
      <w:pPr>
        <w:ind w:right="237" w:firstLine="851"/>
        <w:jc w:val="both"/>
        <w:rPr>
          <w:sz w:val="24"/>
          <w:szCs w:val="24"/>
        </w:rPr>
      </w:pPr>
      <w:r>
        <w:rPr>
          <w:sz w:val="24"/>
          <w:szCs w:val="24"/>
        </w:rPr>
        <w:t>Согласно законските прописи, давателите на поштенските услуги имаат обврска  да водат евиденција за поднесените рекламации и постапките за надомест на штета врз основа на пропишаните стандарди, и да доставуваат податоци до Агенцијата за поднесените рекламации, приговори и извршените постапки за надомест на штета при обезбед</w:t>
      </w:r>
      <w:r w:rsidR="005E6486">
        <w:rPr>
          <w:sz w:val="24"/>
          <w:szCs w:val="24"/>
        </w:rPr>
        <w:t xml:space="preserve">ување на универзалната услуга. </w:t>
      </w:r>
    </w:p>
    <w:p w:rsidR="00F4494E" w:rsidRPr="00F4494E" w:rsidRDefault="00F4494E" w:rsidP="005E6486">
      <w:pPr>
        <w:spacing w:after="0"/>
        <w:ind w:right="237"/>
        <w:jc w:val="center"/>
        <w:rPr>
          <w:rFonts w:ascii="Calibri" w:eastAsia="Times New Roman" w:hAnsi="Calibri"/>
          <w:bCs/>
          <w:i/>
          <w:sz w:val="24"/>
          <w:szCs w:val="24"/>
        </w:rPr>
      </w:pPr>
      <w:r w:rsidRPr="00F4494E">
        <w:rPr>
          <w:rFonts w:ascii="Calibri" w:eastAsia="Times New Roman" w:hAnsi="Calibri" w:cs="Times New Roman"/>
          <w:i/>
          <w:sz w:val="24"/>
          <w:szCs w:val="24"/>
          <w:lang w:eastAsia="mk-MK"/>
        </w:rPr>
        <w:t xml:space="preserve">Слика 33: </w:t>
      </w:r>
      <w:r w:rsidRPr="00F4494E">
        <w:rPr>
          <w:rFonts w:ascii="Calibri" w:eastAsia="Times New Roman" w:hAnsi="Calibri"/>
          <w:bCs/>
          <w:i/>
          <w:sz w:val="24"/>
          <w:szCs w:val="24"/>
        </w:rPr>
        <w:t xml:space="preserve">Вкупен број на рекламации кај Македонска пошта </w:t>
      </w:r>
      <w:r>
        <w:rPr>
          <w:rFonts w:ascii="Calibri" w:eastAsia="Times New Roman" w:hAnsi="Calibri"/>
          <w:bCs/>
          <w:i/>
          <w:sz w:val="24"/>
          <w:szCs w:val="24"/>
        </w:rPr>
        <w:t>во 2014</w:t>
      </w:r>
      <w:r w:rsidRPr="00F4494E">
        <w:rPr>
          <w:rFonts w:ascii="Calibri" w:eastAsia="Times New Roman" w:hAnsi="Calibri"/>
          <w:bCs/>
          <w:i/>
          <w:sz w:val="24"/>
          <w:szCs w:val="24"/>
        </w:rPr>
        <w:t xml:space="preserve"> година</w:t>
      </w:r>
    </w:p>
    <w:p w:rsidR="00F4494E" w:rsidRPr="00F4494E" w:rsidRDefault="00F4494E" w:rsidP="00F4494E">
      <w:pPr>
        <w:spacing w:after="0"/>
        <w:ind w:right="237"/>
        <w:jc w:val="both"/>
        <w:rPr>
          <w:rFonts w:ascii="Calibri" w:eastAsia="Times New Roman" w:hAnsi="Calibri"/>
          <w:i/>
          <w:sz w:val="24"/>
          <w:szCs w:val="24"/>
        </w:rPr>
      </w:pPr>
    </w:p>
    <w:p w:rsidR="00F4494E" w:rsidRDefault="00F4494E" w:rsidP="00F4494E">
      <w:pPr>
        <w:ind w:right="237"/>
        <w:rPr>
          <w:sz w:val="24"/>
          <w:szCs w:val="24"/>
        </w:rPr>
      </w:pPr>
      <w:r w:rsidRPr="00F839F3">
        <w:rPr>
          <w:noProof/>
          <w:color w:val="FFFFFF" w:themeColor="background1"/>
          <w:sz w:val="24"/>
          <w:szCs w:val="24"/>
          <w:lang w:eastAsia="mk-MK"/>
        </w:rPr>
        <w:drawing>
          <wp:inline distT="0" distB="0" distL="0" distR="0" wp14:anchorId="75FFCCA6" wp14:editId="715AE13B">
            <wp:extent cx="5810250" cy="27908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494E" w:rsidRDefault="00F4494E" w:rsidP="005E6486">
      <w:pPr>
        <w:ind w:right="237" w:firstLine="851"/>
        <w:jc w:val="both"/>
        <w:rPr>
          <w:sz w:val="24"/>
          <w:szCs w:val="24"/>
        </w:rPr>
      </w:pPr>
      <w:r>
        <w:rPr>
          <w:sz w:val="24"/>
          <w:szCs w:val="24"/>
        </w:rPr>
        <w:lastRenderedPageBreak/>
        <w:t>Во 2014 година најмногу рекламации има поднесено по основ на изгубени поштенски пратки</w:t>
      </w:r>
      <w:r w:rsidR="006B1EBA">
        <w:rPr>
          <w:sz w:val="24"/>
          <w:szCs w:val="24"/>
        </w:rPr>
        <w:t xml:space="preserve"> и тоа 70</w:t>
      </w:r>
      <w:r>
        <w:rPr>
          <w:sz w:val="24"/>
          <w:szCs w:val="24"/>
        </w:rPr>
        <w:t xml:space="preserve">% од вкупниот број на рекламации. </w:t>
      </w:r>
    </w:p>
    <w:p w:rsidR="00004339" w:rsidRPr="00004339" w:rsidRDefault="00004339" w:rsidP="005E6486">
      <w:pPr>
        <w:spacing w:after="0"/>
        <w:ind w:right="237"/>
        <w:jc w:val="center"/>
        <w:rPr>
          <w:rFonts w:ascii="Calibri" w:eastAsia="Times New Roman" w:hAnsi="Calibri"/>
          <w:bCs/>
          <w:i/>
          <w:sz w:val="24"/>
          <w:szCs w:val="24"/>
        </w:rPr>
      </w:pPr>
      <w:r w:rsidRPr="00004339">
        <w:rPr>
          <w:rFonts w:ascii="Calibri" w:eastAsia="Times New Roman" w:hAnsi="Calibri" w:cs="Times New Roman"/>
          <w:i/>
          <w:sz w:val="24"/>
          <w:szCs w:val="24"/>
          <w:lang w:eastAsia="mk-MK"/>
        </w:rPr>
        <w:t xml:space="preserve">Слика 34: </w:t>
      </w:r>
      <w:r w:rsidRPr="00004339">
        <w:rPr>
          <w:rFonts w:ascii="Calibri" w:eastAsia="Times New Roman" w:hAnsi="Calibri"/>
          <w:bCs/>
          <w:i/>
          <w:sz w:val="24"/>
          <w:szCs w:val="24"/>
        </w:rPr>
        <w:t xml:space="preserve">Сооднос на број на рекламации кај Македонска пошта и кај давателите на поштенските услуги на слободниот пазар </w:t>
      </w:r>
      <w:r>
        <w:rPr>
          <w:rFonts w:ascii="Calibri" w:eastAsia="Times New Roman" w:hAnsi="Calibri"/>
          <w:bCs/>
          <w:i/>
          <w:sz w:val="24"/>
          <w:szCs w:val="24"/>
        </w:rPr>
        <w:t>во 2014</w:t>
      </w:r>
      <w:r w:rsidRPr="00004339">
        <w:rPr>
          <w:rFonts w:ascii="Calibri" w:eastAsia="Times New Roman" w:hAnsi="Calibri"/>
          <w:bCs/>
          <w:i/>
          <w:sz w:val="24"/>
          <w:szCs w:val="24"/>
        </w:rPr>
        <w:t xml:space="preserve"> година</w:t>
      </w:r>
    </w:p>
    <w:p w:rsidR="00004339" w:rsidRPr="00A0019F" w:rsidRDefault="00004339" w:rsidP="00004339">
      <w:pPr>
        <w:spacing w:after="0"/>
        <w:ind w:right="237"/>
        <w:jc w:val="both"/>
        <w:rPr>
          <w:rFonts w:ascii="Calibri" w:eastAsia="Times New Roman" w:hAnsi="Calibri"/>
          <w:b/>
          <w:i/>
          <w:sz w:val="24"/>
          <w:szCs w:val="24"/>
        </w:rPr>
      </w:pPr>
    </w:p>
    <w:p w:rsidR="00F4494E" w:rsidRPr="005E6486" w:rsidRDefault="00004339" w:rsidP="005E6486">
      <w:pPr>
        <w:ind w:right="237"/>
        <w:rPr>
          <w:sz w:val="24"/>
          <w:szCs w:val="24"/>
        </w:rPr>
      </w:pPr>
      <w:r>
        <w:rPr>
          <w:noProof/>
          <w:sz w:val="24"/>
          <w:szCs w:val="24"/>
          <w:lang w:eastAsia="mk-MK"/>
        </w:rPr>
        <w:drawing>
          <wp:inline distT="0" distB="0" distL="0" distR="0" wp14:anchorId="1F04E52C" wp14:editId="19D87B90">
            <wp:extent cx="5781675" cy="28575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2453" w:rsidRDefault="00DA2453" w:rsidP="005E6486">
      <w:pPr>
        <w:ind w:right="237" w:firstLine="851"/>
        <w:jc w:val="both"/>
        <w:rPr>
          <w:sz w:val="24"/>
          <w:szCs w:val="24"/>
        </w:rPr>
      </w:pPr>
      <w:r>
        <w:rPr>
          <w:sz w:val="24"/>
          <w:szCs w:val="24"/>
        </w:rPr>
        <w:t xml:space="preserve">Бројот на рекламациите е сличен и за внатрешен и за меѓународен сообраќај, односно </w:t>
      </w:r>
      <w:r w:rsidR="00570E69">
        <w:rPr>
          <w:sz w:val="24"/>
          <w:szCs w:val="24"/>
        </w:rPr>
        <w:t>85,6</w:t>
      </w:r>
      <w:r>
        <w:rPr>
          <w:sz w:val="24"/>
          <w:szCs w:val="24"/>
        </w:rPr>
        <w:t>% од рекламациите се однесуваа за внатрешен сообраќај. Најголем процент на поднесени рекламации отпаѓа на препорачаните писма и тоа и во внатрешен и во меѓународен сообраќај. Од вкупниот број на рекламации 90% се однесува на рекламации за препорачани писма.</w:t>
      </w:r>
    </w:p>
    <w:p w:rsidR="00DA2453" w:rsidRPr="00DA2453" w:rsidRDefault="00DA2453" w:rsidP="005E6486">
      <w:pPr>
        <w:spacing w:after="0" w:line="240" w:lineRule="auto"/>
        <w:ind w:right="237"/>
        <w:jc w:val="center"/>
        <w:rPr>
          <w:rFonts w:ascii="Calibri" w:eastAsia="Times New Roman" w:hAnsi="Calibri"/>
          <w:i/>
          <w:sz w:val="24"/>
          <w:szCs w:val="24"/>
        </w:rPr>
      </w:pPr>
      <w:r w:rsidRPr="00DA2453">
        <w:rPr>
          <w:rFonts w:ascii="Calibri" w:eastAsia="Times New Roman" w:hAnsi="Calibri" w:cs="Times New Roman"/>
          <w:i/>
          <w:sz w:val="24"/>
          <w:szCs w:val="24"/>
          <w:lang w:eastAsia="mk-MK"/>
        </w:rPr>
        <w:t xml:space="preserve">Слика 36: </w:t>
      </w:r>
      <w:r w:rsidRPr="00DA2453">
        <w:rPr>
          <w:rFonts w:ascii="Calibri" w:eastAsia="Times New Roman" w:hAnsi="Calibri"/>
          <w:bCs/>
          <w:i/>
          <w:sz w:val="24"/>
          <w:szCs w:val="24"/>
        </w:rPr>
        <w:t xml:space="preserve">Вкупен број на рекламации кај Македонска пошта во внатрешен и меѓународен сообраќај </w:t>
      </w:r>
      <w:r>
        <w:rPr>
          <w:rFonts w:ascii="Calibri" w:eastAsia="Times New Roman" w:hAnsi="Calibri"/>
          <w:bCs/>
          <w:i/>
          <w:sz w:val="24"/>
          <w:szCs w:val="24"/>
        </w:rPr>
        <w:t>во 2014</w:t>
      </w:r>
      <w:r w:rsidRPr="00DA2453">
        <w:rPr>
          <w:rFonts w:ascii="Calibri" w:eastAsia="Times New Roman" w:hAnsi="Calibri"/>
          <w:bCs/>
          <w:i/>
          <w:sz w:val="24"/>
          <w:szCs w:val="24"/>
        </w:rPr>
        <w:t xml:space="preserve"> година</w:t>
      </w:r>
    </w:p>
    <w:p w:rsidR="00DA2453" w:rsidRPr="00DE454C" w:rsidRDefault="00DA2453" w:rsidP="005E6486">
      <w:pPr>
        <w:spacing w:line="240" w:lineRule="auto"/>
        <w:ind w:right="237"/>
        <w:jc w:val="both"/>
        <w:rPr>
          <w:sz w:val="24"/>
          <w:szCs w:val="24"/>
        </w:rPr>
      </w:pPr>
    </w:p>
    <w:p w:rsidR="00DA2453" w:rsidRDefault="00DA2453" w:rsidP="005E6486">
      <w:pPr>
        <w:spacing w:line="240" w:lineRule="auto"/>
        <w:ind w:right="237"/>
        <w:rPr>
          <w:sz w:val="24"/>
          <w:szCs w:val="24"/>
        </w:rPr>
      </w:pPr>
      <w:r>
        <w:rPr>
          <w:noProof/>
          <w:sz w:val="24"/>
          <w:szCs w:val="24"/>
          <w:lang w:eastAsia="mk-MK"/>
        </w:rPr>
        <w:drawing>
          <wp:inline distT="0" distB="0" distL="0" distR="0" wp14:anchorId="036EEDCA" wp14:editId="51A51BE6">
            <wp:extent cx="5781675" cy="27622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2453" w:rsidRPr="00DA2453" w:rsidRDefault="00DA2453" w:rsidP="00C30404">
      <w:pPr>
        <w:spacing w:after="0"/>
        <w:ind w:right="237"/>
        <w:jc w:val="center"/>
        <w:rPr>
          <w:rFonts w:ascii="Calibri" w:eastAsia="Times New Roman" w:hAnsi="Calibri"/>
          <w:bCs/>
          <w:i/>
          <w:sz w:val="24"/>
          <w:szCs w:val="24"/>
        </w:rPr>
      </w:pPr>
      <w:r w:rsidRPr="00DA2453">
        <w:rPr>
          <w:rFonts w:ascii="Calibri" w:eastAsia="Times New Roman" w:hAnsi="Calibri" w:cs="Times New Roman"/>
          <w:i/>
          <w:sz w:val="24"/>
          <w:szCs w:val="24"/>
          <w:lang w:eastAsia="mk-MK"/>
        </w:rPr>
        <w:lastRenderedPageBreak/>
        <w:t xml:space="preserve">Слика 37: </w:t>
      </w:r>
      <w:r w:rsidRPr="00DA2453">
        <w:rPr>
          <w:rFonts w:ascii="Calibri" w:eastAsia="Times New Roman" w:hAnsi="Calibri"/>
          <w:bCs/>
          <w:i/>
          <w:sz w:val="24"/>
          <w:szCs w:val="24"/>
        </w:rPr>
        <w:t xml:space="preserve">Вкупен број на рекламации позитивно и негативно решени кај Македонска пошта </w:t>
      </w:r>
      <w:r>
        <w:rPr>
          <w:rFonts w:ascii="Calibri" w:eastAsia="Times New Roman" w:hAnsi="Calibri"/>
          <w:bCs/>
          <w:i/>
          <w:sz w:val="24"/>
          <w:szCs w:val="24"/>
        </w:rPr>
        <w:t>во 2014</w:t>
      </w:r>
      <w:r w:rsidRPr="00DA2453">
        <w:rPr>
          <w:rFonts w:ascii="Calibri" w:eastAsia="Times New Roman" w:hAnsi="Calibri"/>
          <w:bCs/>
          <w:i/>
          <w:sz w:val="24"/>
          <w:szCs w:val="24"/>
        </w:rPr>
        <w:t xml:space="preserve"> година</w:t>
      </w:r>
    </w:p>
    <w:p w:rsidR="00DA2453" w:rsidRPr="00DA2453" w:rsidRDefault="00DA2453" w:rsidP="00DA2453">
      <w:pPr>
        <w:spacing w:after="0"/>
        <w:ind w:right="237"/>
        <w:jc w:val="both"/>
        <w:rPr>
          <w:rFonts w:ascii="Calibri" w:eastAsia="Times New Roman" w:hAnsi="Calibri"/>
          <w:i/>
          <w:sz w:val="24"/>
          <w:szCs w:val="24"/>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69"/>
        <w:gridCol w:w="3118"/>
        <w:gridCol w:w="2755"/>
      </w:tblGrid>
      <w:tr w:rsidR="00DA2453" w:rsidRPr="00DA2453" w:rsidTr="00DA2453">
        <w:tc>
          <w:tcPr>
            <w:tcW w:w="3369" w:type="dxa"/>
            <w:shd w:val="clear" w:color="auto" w:fill="CC0066"/>
          </w:tcPr>
          <w:p w:rsidR="00DA2453" w:rsidRPr="00DA2453" w:rsidRDefault="00DA2453" w:rsidP="00DA2453">
            <w:pPr>
              <w:ind w:right="237"/>
              <w:rPr>
                <w:color w:val="FFFFFF" w:themeColor="background1"/>
                <w:sz w:val="28"/>
                <w:szCs w:val="28"/>
              </w:rPr>
            </w:pPr>
            <w:r w:rsidRPr="00DA2453">
              <w:rPr>
                <w:color w:val="FFFFFF" w:themeColor="background1"/>
                <w:sz w:val="28"/>
                <w:szCs w:val="28"/>
              </w:rPr>
              <w:t>Рекламации- М. пошта</w:t>
            </w:r>
          </w:p>
        </w:tc>
        <w:tc>
          <w:tcPr>
            <w:tcW w:w="3118" w:type="dxa"/>
            <w:shd w:val="clear" w:color="auto" w:fill="CC0066"/>
            <w:vAlign w:val="center"/>
          </w:tcPr>
          <w:p w:rsidR="00DA2453" w:rsidRPr="00DA2453" w:rsidRDefault="00DA2453" w:rsidP="00DA2453">
            <w:pPr>
              <w:ind w:right="237"/>
              <w:jc w:val="center"/>
              <w:rPr>
                <w:color w:val="FFFFFF" w:themeColor="background1"/>
                <w:sz w:val="28"/>
                <w:szCs w:val="28"/>
              </w:rPr>
            </w:pPr>
            <w:r w:rsidRPr="00DA2453">
              <w:rPr>
                <w:color w:val="FFFFFF" w:themeColor="background1"/>
                <w:sz w:val="28"/>
                <w:szCs w:val="28"/>
              </w:rPr>
              <w:t>Позитивно решени</w:t>
            </w:r>
          </w:p>
        </w:tc>
        <w:tc>
          <w:tcPr>
            <w:tcW w:w="2755" w:type="dxa"/>
            <w:shd w:val="clear" w:color="auto" w:fill="CC0066"/>
            <w:vAlign w:val="center"/>
          </w:tcPr>
          <w:p w:rsidR="00DA2453" w:rsidRPr="00DA2453" w:rsidRDefault="00DA2453" w:rsidP="00DA2453">
            <w:pPr>
              <w:ind w:right="237"/>
              <w:jc w:val="center"/>
              <w:rPr>
                <w:color w:val="FFFFFF" w:themeColor="background1"/>
                <w:sz w:val="28"/>
                <w:szCs w:val="28"/>
              </w:rPr>
            </w:pPr>
            <w:r w:rsidRPr="00DA2453">
              <w:rPr>
                <w:color w:val="FFFFFF" w:themeColor="background1"/>
                <w:sz w:val="28"/>
                <w:szCs w:val="28"/>
              </w:rPr>
              <w:t>Негативно решени</w:t>
            </w:r>
          </w:p>
        </w:tc>
      </w:tr>
      <w:tr w:rsidR="00DA2453" w:rsidRPr="00DA2453" w:rsidTr="00DA2453">
        <w:trPr>
          <w:trHeight w:val="113"/>
        </w:trPr>
        <w:tc>
          <w:tcPr>
            <w:tcW w:w="3369" w:type="dxa"/>
          </w:tcPr>
          <w:p w:rsidR="00DA2453" w:rsidRPr="00DA2453" w:rsidRDefault="00DA2453" w:rsidP="00DA2453">
            <w:pPr>
              <w:ind w:right="237"/>
              <w:rPr>
                <w:sz w:val="24"/>
                <w:szCs w:val="24"/>
              </w:rPr>
            </w:pPr>
            <w:r w:rsidRPr="00DA2453">
              <w:rPr>
                <w:sz w:val="24"/>
                <w:szCs w:val="24"/>
              </w:rPr>
              <w:t>Обични писма</w:t>
            </w:r>
          </w:p>
        </w:tc>
        <w:tc>
          <w:tcPr>
            <w:tcW w:w="3118" w:type="dxa"/>
            <w:vAlign w:val="center"/>
          </w:tcPr>
          <w:p w:rsidR="00DA2453" w:rsidRPr="00DA2453" w:rsidRDefault="00DA2453" w:rsidP="00DA2453">
            <w:pPr>
              <w:ind w:right="237"/>
              <w:jc w:val="center"/>
              <w:rPr>
                <w:sz w:val="28"/>
                <w:szCs w:val="28"/>
              </w:rPr>
            </w:pPr>
            <w:r>
              <w:rPr>
                <w:sz w:val="28"/>
                <w:szCs w:val="28"/>
              </w:rPr>
              <w:t>33</w:t>
            </w:r>
          </w:p>
        </w:tc>
        <w:tc>
          <w:tcPr>
            <w:tcW w:w="2755" w:type="dxa"/>
            <w:vAlign w:val="center"/>
          </w:tcPr>
          <w:p w:rsidR="00DA2453" w:rsidRPr="00DA2453" w:rsidRDefault="00DA2453" w:rsidP="00DA2453">
            <w:pPr>
              <w:ind w:right="237"/>
              <w:jc w:val="center"/>
              <w:rPr>
                <w:sz w:val="28"/>
                <w:szCs w:val="28"/>
              </w:rPr>
            </w:pPr>
            <w:r>
              <w:rPr>
                <w:sz w:val="28"/>
                <w:szCs w:val="28"/>
              </w:rPr>
              <w:t>4</w:t>
            </w:r>
          </w:p>
        </w:tc>
      </w:tr>
      <w:tr w:rsidR="00DA2453" w:rsidRPr="00DA2453" w:rsidTr="00DA2453">
        <w:trPr>
          <w:trHeight w:val="188"/>
        </w:trPr>
        <w:tc>
          <w:tcPr>
            <w:tcW w:w="3369" w:type="dxa"/>
          </w:tcPr>
          <w:p w:rsidR="00DA2453" w:rsidRPr="00DA2453" w:rsidRDefault="00DA2453" w:rsidP="00DA2453">
            <w:pPr>
              <w:ind w:right="237"/>
              <w:rPr>
                <w:sz w:val="24"/>
                <w:szCs w:val="24"/>
              </w:rPr>
            </w:pPr>
            <w:r w:rsidRPr="00DA2453">
              <w:rPr>
                <w:sz w:val="24"/>
                <w:szCs w:val="24"/>
              </w:rPr>
              <w:t>Препорачани писма</w:t>
            </w:r>
          </w:p>
        </w:tc>
        <w:tc>
          <w:tcPr>
            <w:tcW w:w="3118" w:type="dxa"/>
            <w:vAlign w:val="center"/>
          </w:tcPr>
          <w:p w:rsidR="00DA2453" w:rsidRPr="005D6A6B" w:rsidRDefault="005D6A6B" w:rsidP="00DA2453">
            <w:pPr>
              <w:ind w:right="237"/>
              <w:jc w:val="center"/>
              <w:rPr>
                <w:sz w:val="28"/>
                <w:szCs w:val="28"/>
              </w:rPr>
            </w:pPr>
            <w:r>
              <w:rPr>
                <w:sz w:val="28"/>
                <w:szCs w:val="28"/>
              </w:rPr>
              <w:t>3895</w:t>
            </w:r>
          </w:p>
        </w:tc>
        <w:tc>
          <w:tcPr>
            <w:tcW w:w="2755" w:type="dxa"/>
            <w:vAlign w:val="center"/>
          </w:tcPr>
          <w:p w:rsidR="00DA2453" w:rsidRPr="005D6A6B" w:rsidRDefault="005D6A6B" w:rsidP="00DA2453">
            <w:pPr>
              <w:ind w:right="237"/>
              <w:jc w:val="center"/>
              <w:rPr>
                <w:sz w:val="28"/>
                <w:szCs w:val="28"/>
              </w:rPr>
            </w:pPr>
            <w:r>
              <w:rPr>
                <w:sz w:val="28"/>
                <w:szCs w:val="28"/>
              </w:rPr>
              <w:t>649</w:t>
            </w:r>
          </w:p>
        </w:tc>
      </w:tr>
      <w:tr w:rsidR="00DA2453" w:rsidRPr="00DA2453" w:rsidTr="00DA2453">
        <w:tc>
          <w:tcPr>
            <w:tcW w:w="3369" w:type="dxa"/>
          </w:tcPr>
          <w:p w:rsidR="00DA2453" w:rsidRPr="00DA2453" w:rsidRDefault="00DA2453" w:rsidP="00DA2453">
            <w:pPr>
              <w:ind w:right="237"/>
              <w:rPr>
                <w:sz w:val="24"/>
                <w:szCs w:val="24"/>
              </w:rPr>
            </w:pPr>
            <w:r w:rsidRPr="00DA2453">
              <w:rPr>
                <w:sz w:val="24"/>
                <w:szCs w:val="24"/>
              </w:rPr>
              <w:t>Вредносни писма</w:t>
            </w:r>
          </w:p>
        </w:tc>
        <w:tc>
          <w:tcPr>
            <w:tcW w:w="3118" w:type="dxa"/>
            <w:vAlign w:val="center"/>
          </w:tcPr>
          <w:p w:rsidR="00DA2453" w:rsidRPr="005D6A6B" w:rsidRDefault="005D6A6B" w:rsidP="00DA2453">
            <w:pPr>
              <w:ind w:right="237"/>
              <w:jc w:val="center"/>
              <w:rPr>
                <w:sz w:val="28"/>
                <w:szCs w:val="28"/>
              </w:rPr>
            </w:pPr>
            <w:r>
              <w:rPr>
                <w:sz w:val="28"/>
                <w:szCs w:val="28"/>
              </w:rPr>
              <w:t>13</w:t>
            </w:r>
          </w:p>
        </w:tc>
        <w:tc>
          <w:tcPr>
            <w:tcW w:w="2755" w:type="dxa"/>
            <w:vAlign w:val="center"/>
          </w:tcPr>
          <w:p w:rsidR="00DA2453" w:rsidRPr="005D6A6B" w:rsidRDefault="005D6A6B" w:rsidP="00DA2453">
            <w:pPr>
              <w:ind w:right="237"/>
              <w:jc w:val="center"/>
              <w:rPr>
                <w:sz w:val="28"/>
                <w:szCs w:val="28"/>
              </w:rPr>
            </w:pPr>
            <w:r>
              <w:rPr>
                <w:sz w:val="28"/>
                <w:szCs w:val="28"/>
              </w:rPr>
              <w:t>0</w:t>
            </w:r>
          </w:p>
        </w:tc>
      </w:tr>
      <w:tr w:rsidR="00DA2453" w:rsidRPr="00DA2453" w:rsidTr="00DA2453">
        <w:tc>
          <w:tcPr>
            <w:tcW w:w="3369" w:type="dxa"/>
          </w:tcPr>
          <w:p w:rsidR="00DA2453" w:rsidRPr="00DA2453" w:rsidRDefault="00DA2453" w:rsidP="00DA2453">
            <w:pPr>
              <w:ind w:right="237"/>
              <w:rPr>
                <w:sz w:val="24"/>
                <w:szCs w:val="24"/>
              </w:rPr>
            </w:pPr>
            <w:r w:rsidRPr="00DA2453">
              <w:rPr>
                <w:sz w:val="24"/>
                <w:szCs w:val="24"/>
              </w:rPr>
              <w:t>Пакети</w:t>
            </w:r>
          </w:p>
        </w:tc>
        <w:tc>
          <w:tcPr>
            <w:tcW w:w="3118" w:type="dxa"/>
            <w:vAlign w:val="center"/>
          </w:tcPr>
          <w:p w:rsidR="00DA2453" w:rsidRPr="005D6A6B" w:rsidRDefault="005D6A6B" w:rsidP="00DA2453">
            <w:pPr>
              <w:ind w:right="237"/>
              <w:jc w:val="center"/>
              <w:rPr>
                <w:sz w:val="28"/>
                <w:szCs w:val="28"/>
              </w:rPr>
            </w:pPr>
            <w:r>
              <w:rPr>
                <w:sz w:val="28"/>
                <w:szCs w:val="28"/>
              </w:rPr>
              <w:t>132</w:t>
            </w:r>
          </w:p>
        </w:tc>
        <w:tc>
          <w:tcPr>
            <w:tcW w:w="2755" w:type="dxa"/>
            <w:vAlign w:val="center"/>
          </w:tcPr>
          <w:p w:rsidR="00DA2453" w:rsidRPr="005D6A6B" w:rsidRDefault="005D6A6B" w:rsidP="00DA2453">
            <w:pPr>
              <w:ind w:right="237"/>
              <w:jc w:val="center"/>
              <w:rPr>
                <w:sz w:val="28"/>
                <w:szCs w:val="28"/>
              </w:rPr>
            </w:pPr>
            <w:r>
              <w:rPr>
                <w:sz w:val="28"/>
                <w:szCs w:val="28"/>
              </w:rPr>
              <w:t>30</w:t>
            </w:r>
          </w:p>
        </w:tc>
      </w:tr>
      <w:tr w:rsidR="00DA2453" w:rsidRPr="00DA2453" w:rsidTr="00DA2453">
        <w:tc>
          <w:tcPr>
            <w:tcW w:w="3369" w:type="dxa"/>
          </w:tcPr>
          <w:p w:rsidR="00DA2453" w:rsidRPr="00DA2453" w:rsidRDefault="00DA2453" w:rsidP="00DA2453">
            <w:pPr>
              <w:ind w:right="237"/>
              <w:rPr>
                <w:sz w:val="24"/>
                <w:szCs w:val="24"/>
              </w:rPr>
            </w:pPr>
            <w:r w:rsidRPr="00DA2453">
              <w:rPr>
                <w:sz w:val="24"/>
                <w:szCs w:val="24"/>
              </w:rPr>
              <w:t>Вредносни пакети</w:t>
            </w:r>
          </w:p>
        </w:tc>
        <w:tc>
          <w:tcPr>
            <w:tcW w:w="3118" w:type="dxa"/>
            <w:vAlign w:val="center"/>
          </w:tcPr>
          <w:p w:rsidR="00DA2453" w:rsidRPr="005D6A6B" w:rsidRDefault="005D6A6B" w:rsidP="00DA2453">
            <w:pPr>
              <w:ind w:right="237"/>
              <w:jc w:val="center"/>
              <w:rPr>
                <w:sz w:val="28"/>
                <w:szCs w:val="28"/>
              </w:rPr>
            </w:pPr>
            <w:r>
              <w:rPr>
                <w:sz w:val="28"/>
                <w:szCs w:val="28"/>
              </w:rPr>
              <w:t>43</w:t>
            </w:r>
          </w:p>
        </w:tc>
        <w:tc>
          <w:tcPr>
            <w:tcW w:w="2755" w:type="dxa"/>
            <w:vAlign w:val="center"/>
          </w:tcPr>
          <w:p w:rsidR="00DA2453" w:rsidRPr="005D6A6B" w:rsidRDefault="005D6A6B" w:rsidP="00DA2453">
            <w:pPr>
              <w:ind w:right="237"/>
              <w:jc w:val="center"/>
              <w:rPr>
                <w:sz w:val="28"/>
                <w:szCs w:val="28"/>
              </w:rPr>
            </w:pPr>
            <w:r>
              <w:rPr>
                <w:sz w:val="28"/>
                <w:szCs w:val="28"/>
              </w:rPr>
              <w:t>9</w:t>
            </w:r>
          </w:p>
        </w:tc>
      </w:tr>
    </w:tbl>
    <w:p w:rsidR="00E53827" w:rsidRDefault="00E53827" w:rsidP="00E53827">
      <w:pPr>
        <w:spacing w:after="0"/>
        <w:ind w:right="237"/>
        <w:jc w:val="both"/>
        <w:rPr>
          <w:rFonts w:ascii="Calibri" w:eastAsia="Times New Roman" w:hAnsi="Calibri" w:cs="Times New Roman"/>
          <w:sz w:val="24"/>
          <w:szCs w:val="24"/>
          <w:lang w:eastAsia="mk-MK"/>
        </w:rPr>
      </w:pPr>
    </w:p>
    <w:p w:rsidR="00E53827" w:rsidRDefault="00E53827" w:rsidP="00C30404">
      <w:pPr>
        <w:spacing w:after="0"/>
        <w:ind w:right="237" w:firstLine="851"/>
        <w:jc w:val="both"/>
        <w:rPr>
          <w:rFonts w:ascii="Calibri" w:eastAsia="Times New Roman" w:hAnsi="Calibri" w:cs="Times New Roman"/>
          <w:sz w:val="24"/>
          <w:szCs w:val="24"/>
          <w:lang w:eastAsia="mk-MK"/>
        </w:rPr>
      </w:pPr>
      <w:r>
        <w:rPr>
          <w:rFonts w:ascii="Calibri" w:eastAsia="Times New Roman" w:hAnsi="Calibri" w:cs="Times New Roman"/>
          <w:sz w:val="24"/>
          <w:szCs w:val="24"/>
          <w:lang w:eastAsia="mk-MK"/>
        </w:rPr>
        <w:t>Доставените податоци по однос на поднесени рекламации покажуваат дека најмногу позитивно решени рекламации има за препорачаните пратки. Позитивно решена рекламација согласно Правилникот за вршење услуги во поштенскиот сообраќај на Македонска пошта значи рекаламација за поштенска пратка за која е утврдено дека е доставена, а негативно решена рекламација значи не доставена поштенска пратка.</w:t>
      </w:r>
    </w:p>
    <w:p w:rsidR="00C30404" w:rsidRPr="00D40734" w:rsidRDefault="00C30404" w:rsidP="00C30404">
      <w:pPr>
        <w:spacing w:after="0"/>
        <w:ind w:right="237" w:firstLine="851"/>
        <w:jc w:val="both"/>
        <w:rPr>
          <w:rFonts w:ascii="Calibri" w:eastAsia="Times New Roman" w:hAnsi="Calibri" w:cs="Times New Roman"/>
          <w:sz w:val="24"/>
          <w:szCs w:val="24"/>
          <w:lang w:eastAsia="mk-MK"/>
        </w:rPr>
      </w:pPr>
    </w:p>
    <w:p w:rsidR="00E53827" w:rsidRPr="00E53827" w:rsidRDefault="00E53827" w:rsidP="00C30404">
      <w:pPr>
        <w:jc w:val="center"/>
        <w:rPr>
          <w:i/>
          <w:sz w:val="24"/>
          <w:szCs w:val="24"/>
        </w:rPr>
      </w:pPr>
      <w:r w:rsidRPr="00E53827">
        <w:rPr>
          <w:rFonts w:ascii="Calibri" w:eastAsia="Times New Roman" w:hAnsi="Calibri" w:cs="Times New Roman"/>
          <w:i/>
          <w:sz w:val="24"/>
          <w:szCs w:val="24"/>
          <w:lang w:eastAsia="mk-MK"/>
        </w:rPr>
        <w:t xml:space="preserve">Слика 38: </w:t>
      </w:r>
      <w:r w:rsidRPr="00E53827">
        <w:rPr>
          <w:i/>
          <w:sz w:val="24"/>
          <w:szCs w:val="24"/>
        </w:rPr>
        <w:t>Рекламации по услуги во Македонска пошта</w:t>
      </w:r>
      <w:r>
        <w:rPr>
          <w:i/>
          <w:sz w:val="24"/>
          <w:szCs w:val="24"/>
        </w:rPr>
        <w:t xml:space="preserve"> во 2014</w:t>
      </w:r>
      <w:r w:rsidRPr="00E53827">
        <w:rPr>
          <w:i/>
          <w:sz w:val="24"/>
          <w:szCs w:val="24"/>
        </w:rPr>
        <w:t xml:space="preserve"> година</w:t>
      </w:r>
    </w:p>
    <w:p w:rsidR="00E53827" w:rsidRDefault="00E53827" w:rsidP="00E53827">
      <w:pPr>
        <w:ind w:right="237"/>
        <w:rPr>
          <w:sz w:val="24"/>
          <w:szCs w:val="24"/>
        </w:rPr>
      </w:pPr>
      <w:r w:rsidRPr="00222E79">
        <w:rPr>
          <w:noProof/>
          <w:sz w:val="24"/>
          <w:szCs w:val="24"/>
          <w:lang w:eastAsia="mk-MK"/>
        </w:rPr>
        <mc:AlternateContent>
          <mc:Choice Requires="wps">
            <w:drawing>
              <wp:anchor distT="0" distB="0" distL="114300" distR="114300" simplePos="0" relativeHeight="251659264" behindDoc="0" locked="0" layoutInCell="1" allowOverlap="1" wp14:anchorId="69FE7841" wp14:editId="625840FC">
                <wp:simplePos x="0" y="0"/>
                <wp:positionH relativeFrom="column">
                  <wp:align>center</wp:align>
                </wp:positionH>
                <wp:positionV relativeFrom="paragraph">
                  <wp:posOffset>0</wp:posOffset>
                </wp:positionV>
                <wp:extent cx="4063116" cy="40957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116" cy="409575"/>
                        </a:xfrm>
                        <a:prstGeom prst="rect">
                          <a:avLst/>
                        </a:prstGeom>
                        <a:noFill/>
                        <a:ln w="9525">
                          <a:noFill/>
                          <a:miter lim="800000"/>
                          <a:headEnd/>
                          <a:tailEnd/>
                        </a:ln>
                      </wps:spPr>
                      <wps:txbx>
                        <w:txbxContent>
                          <w:p w:rsidR="00042A1B" w:rsidRPr="00E53827" w:rsidRDefault="00042A1B" w:rsidP="00E53827">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19.95pt;height:32.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" filled="f" stroked="f">
                <v:textbox>
                  <w:txbxContent>
                    <w:p w:rsidR="00F77F65" w:rsidRPr="00E53827" w:rsidRDefault="00F77F65" w:rsidP="00E53827">
                      <w:pPr>
                        <w:rPr>
                          <w:sz w:val="32"/>
                          <w:szCs w:val="32"/>
                        </w:rPr>
                      </w:pPr>
                    </w:p>
                  </w:txbxContent>
                </v:textbox>
              </v:shape>
            </w:pict>
          </mc:Fallback>
        </mc:AlternateContent>
      </w:r>
      <w:r w:rsidRPr="00BF3BDD">
        <w:rPr>
          <w:noProof/>
          <w:sz w:val="24"/>
          <w:szCs w:val="24"/>
          <w:lang w:eastAsia="mk-MK"/>
        </w:rPr>
        <w:drawing>
          <wp:inline distT="0" distB="0" distL="0" distR="0" wp14:anchorId="6EC1E88C" wp14:editId="20033D5F">
            <wp:extent cx="5731510" cy="345186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0404" w:rsidRDefault="00C30404" w:rsidP="00662813">
      <w:pPr>
        <w:tabs>
          <w:tab w:val="left" w:pos="3075"/>
        </w:tabs>
        <w:rPr>
          <w:rFonts w:ascii="Calibri" w:eastAsia="Times New Roman" w:hAnsi="Calibri" w:cs="Times New Roman"/>
          <w:i/>
          <w:sz w:val="24"/>
          <w:szCs w:val="24"/>
          <w:lang w:eastAsia="mk-MK"/>
        </w:rPr>
      </w:pPr>
    </w:p>
    <w:p w:rsidR="00C30404" w:rsidRDefault="00C30404" w:rsidP="00662813">
      <w:pPr>
        <w:tabs>
          <w:tab w:val="left" w:pos="3075"/>
        </w:tabs>
        <w:rPr>
          <w:rFonts w:ascii="Calibri" w:eastAsia="Times New Roman" w:hAnsi="Calibri" w:cs="Times New Roman"/>
          <w:i/>
          <w:sz w:val="24"/>
          <w:szCs w:val="24"/>
          <w:lang w:eastAsia="mk-MK"/>
        </w:rPr>
      </w:pPr>
    </w:p>
    <w:p w:rsidR="00C30404" w:rsidRDefault="00C30404" w:rsidP="00662813">
      <w:pPr>
        <w:tabs>
          <w:tab w:val="left" w:pos="3075"/>
        </w:tabs>
        <w:rPr>
          <w:rFonts w:ascii="Calibri" w:eastAsia="Times New Roman" w:hAnsi="Calibri" w:cs="Times New Roman"/>
          <w:i/>
          <w:sz w:val="24"/>
          <w:szCs w:val="24"/>
          <w:lang w:eastAsia="mk-MK"/>
        </w:rPr>
      </w:pPr>
    </w:p>
    <w:p w:rsidR="00C30404" w:rsidRDefault="00C30404" w:rsidP="00662813">
      <w:pPr>
        <w:tabs>
          <w:tab w:val="left" w:pos="3075"/>
        </w:tabs>
        <w:rPr>
          <w:rFonts w:ascii="Calibri" w:eastAsia="Times New Roman" w:hAnsi="Calibri" w:cs="Times New Roman"/>
          <w:i/>
          <w:sz w:val="24"/>
          <w:szCs w:val="24"/>
          <w:lang w:eastAsia="mk-MK"/>
        </w:rPr>
      </w:pPr>
    </w:p>
    <w:p w:rsidR="00662813" w:rsidRPr="00662813" w:rsidRDefault="00662813" w:rsidP="00662813">
      <w:pPr>
        <w:tabs>
          <w:tab w:val="left" w:pos="3075"/>
        </w:tabs>
        <w:rPr>
          <w:sz w:val="24"/>
          <w:szCs w:val="24"/>
        </w:rPr>
      </w:pPr>
      <w:r w:rsidRPr="00662813">
        <w:rPr>
          <w:rFonts w:ascii="Calibri" w:eastAsia="Times New Roman" w:hAnsi="Calibri" w:cs="Times New Roman"/>
          <w:i/>
          <w:sz w:val="24"/>
          <w:szCs w:val="24"/>
          <w:lang w:eastAsia="mk-MK"/>
        </w:rPr>
        <w:lastRenderedPageBreak/>
        <w:t xml:space="preserve">Слика 39: </w:t>
      </w:r>
      <w:r w:rsidRPr="00662813">
        <w:rPr>
          <w:i/>
          <w:sz w:val="24"/>
          <w:szCs w:val="24"/>
        </w:rPr>
        <w:t>Процент на рекламации (Македонс</w:t>
      </w:r>
      <w:r>
        <w:rPr>
          <w:i/>
          <w:sz w:val="24"/>
          <w:szCs w:val="24"/>
        </w:rPr>
        <w:t>ка пошта) – споредбено 2010/2014</w:t>
      </w:r>
      <w:r w:rsidRPr="00662813">
        <w:rPr>
          <w:sz w:val="24"/>
          <w:szCs w:val="24"/>
        </w:rPr>
        <w:t xml:space="preserve"> </w:t>
      </w:r>
      <w:r w:rsidRPr="00662813">
        <w:rPr>
          <w:i/>
          <w:sz w:val="24"/>
          <w:szCs w:val="24"/>
        </w:rPr>
        <w:t>година</w:t>
      </w:r>
    </w:p>
    <w:p w:rsidR="00662813" w:rsidRDefault="00662813" w:rsidP="00662813">
      <w:pPr>
        <w:ind w:right="237"/>
        <w:rPr>
          <w:sz w:val="24"/>
          <w:szCs w:val="24"/>
        </w:rPr>
      </w:pPr>
      <w:r>
        <w:rPr>
          <w:noProof/>
          <w:sz w:val="28"/>
          <w:szCs w:val="28"/>
          <w:lang w:eastAsia="mk-MK"/>
        </w:rPr>
        <w:drawing>
          <wp:inline distT="0" distB="0" distL="0" distR="0" wp14:anchorId="1DE799CC" wp14:editId="5903E96B">
            <wp:extent cx="5924550" cy="3409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5511" w:rsidRDefault="006C5511" w:rsidP="006C5511">
      <w:pPr>
        <w:ind w:right="237"/>
        <w:jc w:val="both"/>
        <w:rPr>
          <w:sz w:val="24"/>
          <w:szCs w:val="24"/>
        </w:rPr>
      </w:pPr>
    </w:p>
    <w:p w:rsidR="00C9068E" w:rsidRDefault="00C9068E" w:rsidP="00C9068E">
      <w:pPr>
        <w:jc w:val="both"/>
        <w:rPr>
          <w:i/>
          <w:iCs/>
          <w:u w:val="single"/>
        </w:rPr>
      </w:pPr>
      <w:r w:rsidRPr="00A11049">
        <w:rPr>
          <w:i/>
          <w:iCs/>
          <w:u w:val="single"/>
        </w:rPr>
        <w:t>Бројот на рекламациите во однос на 201</w:t>
      </w:r>
      <w:r>
        <w:rPr>
          <w:i/>
          <w:iCs/>
          <w:u w:val="single"/>
        </w:rPr>
        <w:t>3</w:t>
      </w:r>
      <w:r w:rsidRPr="00A11049">
        <w:rPr>
          <w:i/>
          <w:iCs/>
          <w:u w:val="single"/>
        </w:rPr>
        <w:t xml:space="preserve"> година е </w:t>
      </w:r>
      <w:r>
        <w:rPr>
          <w:i/>
          <w:iCs/>
          <w:u w:val="single"/>
        </w:rPr>
        <w:t>зголемен</w:t>
      </w:r>
      <w:r w:rsidRPr="00A11049">
        <w:rPr>
          <w:i/>
          <w:iCs/>
          <w:u w:val="single"/>
        </w:rPr>
        <w:t xml:space="preserve"> за 1</w:t>
      </w:r>
      <w:r>
        <w:rPr>
          <w:i/>
          <w:iCs/>
          <w:u w:val="single"/>
        </w:rPr>
        <w:t>8</w:t>
      </w:r>
      <w:r w:rsidRPr="00A11049">
        <w:rPr>
          <w:i/>
          <w:iCs/>
          <w:u w:val="single"/>
        </w:rPr>
        <w:t xml:space="preserve"> %, податок кој не е </w:t>
      </w:r>
      <w:r>
        <w:rPr>
          <w:i/>
          <w:iCs/>
          <w:u w:val="single"/>
        </w:rPr>
        <w:t>наведува на мислење дека корисниците се запознаени со своите права во однос на квалитетот на обезбедување на поштенските услуги, а во едно укажува и на намалување на квалитетот на обезбедување на услугите.</w:t>
      </w:r>
    </w:p>
    <w:p w:rsidR="00352F26" w:rsidRDefault="00352F26" w:rsidP="006C5511">
      <w:pPr>
        <w:ind w:right="237"/>
        <w:jc w:val="both"/>
        <w:rPr>
          <w:sz w:val="24"/>
          <w:szCs w:val="24"/>
        </w:rPr>
      </w:pPr>
    </w:p>
    <w:p w:rsidR="00D71164" w:rsidRPr="00D71164" w:rsidRDefault="00D71164" w:rsidP="00D71164">
      <w:pPr>
        <w:ind w:right="237" w:firstLine="851"/>
        <w:jc w:val="both"/>
        <w:rPr>
          <w:sz w:val="24"/>
          <w:szCs w:val="24"/>
        </w:rPr>
      </w:pPr>
    </w:p>
    <w:p w:rsidR="00352F26" w:rsidRPr="00352F26" w:rsidRDefault="00352F26" w:rsidP="00D71164">
      <w:pPr>
        <w:jc w:val="center"/>
        <w:rPr>
          <w:i/>
          <w:sz w:val="24"/>
          <w:szCs w:val="24"/>
        </w:rPr>
      </w:pPr>
      <w:r w:rsidRPr="00352F26">
        <w:rPr>
          <w:i/>
          <w:sz w:val="24"/>
          <w:szCs w:val="24"/>
        </w:rPr>
        <w:t>Слика 40: Број на рекламации кај Давателите на поштенските услуги на слободниот поштенски пазар</w:t>
      </w:r>
      <w:r w:rsidRPr="00352F26">
        <w:rPr>
          <w:sz w:val="24"/>
          <w:szCs w:val="24"/>
        </w:rPr>
        <w:t xml:space="preserve"> </w:t>
      </w:r>
      <w:r>
        <w:rPr>
          <w:i/>
          <w:sz w:val="24"/>
          <w:szCs w:val="24"/>
        </w:rPr>
        <w:t>во 2014</w:t>
      </w:r>
      <w:r w:rsidRPr="00352F26">
        <w:rPr>
          <w:i/>
          <w:sz w:val="24"/>
          <w:szCs w:val="24"/>
        </w:rPr>
        <w:t xml:space="preserve"> година</w:t>
      </w:r>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077"/>
        <w:gridCol w:w="2694"/>
        <w:gridCol w:w="2471"/>
      </w:tblGrid>
      <w:tr w:rsidR="00352F26" w:rsidRPr="00352F26" w:rsidTr="00352F26">
        <w:tc>
          <w:tcPr>
            <w:tcW w:w="4077" w:type="dxa"/>
            <w:shd w:val="clear" w:color="auto" w:fill="CC0066"/>
          </w:tcPr>
          <w:p w:rsidR="00352F26" w:rsidRPr="00352F26" w:rsidRDefault="00352F26" w:rsidP="00F77F65">
            <w:pPr>
              <w:ind w:right="237"/>
              <w:rPr>
                <w:b/>
                <w:color w:val="FFFFFF" w:themeColor="background1"/>
                <w:sz w:val="28"/>
                <w:szCs w:val="28"/>
              </w:rPr>
            </w:pPr>
            <w:r w:rsidRPr="00352F26">
              <w:rPr>
                <w:b/>
                <w:color w:val="FFFFFF" w:themeColor="background1"/>
                <w:sz w:val="28"/>
                <w:szCs w:val="28"/>
              </w:rPr>
              <w:t>Број на рекламации</w:t>
            </w:r>
          </w:p>
        </w:tc>
        <w:tc>
          <w:tcPr>
            <w:tcW w:w="2694" w:type="dxa"/>
            <w:shd w:val="clear" w:color="auto" w:fill="CC0066"/>
            <w:vAlign w:val="center"/>
          </w:tcPr>
          <w:p w:rsidR="00352F26" w:rsidRPr="00352F26" w:rsidRDefault="00352F26" w:rsidP="00F77F65">
            <w:pPr>
              <w:ind w:right="237"/>
              <w:jc w:val="center"/>
              <w:rPr>
                <w:b/>
                <w:color w:val="FFFFFF" w:themeColor="background1"/>
                <w:sz w:val="28"/>
                <w:szCs w:val="28"/>
              </w:rPr>
            </w:pPr>
            <w:r w:rsidRPr="00352F26">
              <w:rPr>
                <w:b/>
                <w:color w:val="FFFFFF" w:themeColor="background1"/>
                <w:sz w:val="28"/>
                <w:szCs w:val="28"/>
              </w:rPr>
              <w:t>Позитивно решени</w:t>
            </w:r>
          </w:p>
        </w:tc>
        <w:tc>
          <w:tcPr>
            <w:tcW w:w="2471" w:type="dxa"/>
            <w:shd w:val="clear" w:color="auto" w:fill="CC0066"/>
            <w:vAlign w:val="center"/>
          </w:tcPr>
          <w:p w:rsidR="00352F26" w:rsidRPr="00352F26" w:rsidRDefault="00352F26" w:rsidP="00F77F65">
            <w:pPr>
              <w:ind w:right="237"/>
              <w:jc w:val="center"/>
              <w:rPr>
                <w:b/>
                <w:color w:val="FFFFFF" w:themeColor="background1"/>
                <w:sz w:val="28"/>
                <w:szCs w:val="28"/>
              </w:rPr>
            </w:pPr>
            <w:r w:rsidRPr="00352F26">
              <w:rPr>
                <w:b/>
                <w:color w:val="FFFFFF" w:themeColor="background1"/>
                <w:sz w:val="28"/>
                <w:szCs w:val="28"/>
              </w:rPr>
              <w:t>Негативно решени</w:t>
            </w:r>
          </w:p>
        </w:tc>
      </w:tr>
      <w:tr w:rsidR="00352F26" w:rsidRPr="00352F26" w:rsidTr="00352F26">
        <w:tc>
          <w:tcPr>
            <w:tcW w:w="4077" w:type="dxa"/>
          </w:tcPr>
          <w:p w:rsidR="00352F26" w:rsidRPr="00352F26" w:rsidRDefault="00352F26" w:rsidP="00F77F65">
            <w:pPr>
              <w:ind w:right="237"/>
              <w:rPr>
                <w:sz w:val="28"/>
                <w:szCs w:val="28"/>
              </w:rPr>
            </w:pPr>
            <w:r w:rsidRPr="00352F26">
              <w:rPr>
                <w:sz w:val="28"/>
                <w:szCs w:val="28"/>
              </w:rPr>
              <w:t>Давателите на поштенските услуги на слободниот поштенски пазар</w:t>
            </w:r>
          </w:p>
        </w:tc>
        <w:tc>
          <w:tcPr>
            <w:tcW w:w="2694" w:type="dxa"/>
            <w:vAlign w:val="center"/>
          </w:tcPr>
          <w:p w:rsidR="00352F26" w:rsidRPr="00352F26" w:rsidRDefault="00352F26" w:rsidP="00F77F65">
            <w:pPr>
              <w:ind w:right="237"/>
              <w:jc w:val="center"/>
              <w:rPr>
                <w:b/>
                <w:sz w:val="28"/>
                <w:szCs w:val="28"/>
              </w:rPr>
            </w:pPr>
            <w:r>
              <w:rPr>
                <w:b/>
                <w:sz w:val="28"/>
                <w:szCs w:val="28"/>
              </w:rPr>
              <w:t>182</w:t>
            </w:r>
          </w:p>
        </w:tc>
        <w:tc>
          <w:tcPr>
            <w:tcW w:w="2471" w:type="dxa"/>
            <w:vAlign w:val="center"/>
          </w:tcPr>
          <w:p w:rsidR="00352F26" w:rsidRPr="00352F26" w:rsidRDefault="00352F26" w:rsidP="00F77F65">
            <w:pPr>
              <w:ind w:right="237"/>
              <w:jc w:val="center"/>
              <w:rPr>
                <w:b/>
                <w:sz w:val="28"/>
                <w:szCs w:val="28"/>
              </w:rPr>
            </w:pPr>
            <w:r>
              <w:rPr>
                <w:b/>
                <w:sz w:val="28"/>
                <w:szCs w:val="28"/>
              </w:rPr>
              <w:t>35</w:t>
            </w:r>
          </w:p>
        </w:tc>
      </w:tr>
    </w:tbl>
    <w:p w:rsidR="00352F26" w:rsidRDefault="00352F26" w:rsidP="00352F26">
      <w:pPr>
        <w:jc w:val="both"/>
        <w:rPr>
          <w:b/>
          <w:i/>
          <w:sz w:val="24"/>
          <w:szCs w:val="24"/>
        </w:rPr>
      </w:pPr>
    </w:p>
    <w:p w:rsidR="00352F26" w:rsidRPr="00352F26" w:rsidRDefault="00352F26" w:rsidP="00D71164">
      <w:pPr>
        <w:jc w:val="center"/>
        <w:rPr>
          <w:i/>
          <w:sz w:val="24"/>
          <w:szCs w:val="24"/>
        </w:rPr>
      </w:pPr>
      <w:r w:rsidRPr="00352F26">
        <w:rPr>
          <w:i/>
          <w:sz w:val="24"/>
          <w:szCs w:val="24"/>
        </w:rPr>
        <w:t>Слика 41: Процент на позитивно и негативно решени рекламации кај Давателите на поштенските услуги на слободниот поштенски пазар</w:t>
      </w:r>
      <w:r w:rsidRPr="00352F26">
        <w:rPr>
          <w:sz w:val="24"/>
          <w:szCs w:val="24"/>
        </w:rPr>
        <w:t xml:space="preserve"> </w:t>
      </w:r>
      <w:r>
        <w:rPr>
          <w:i/>
          <w:sz w:val="24"/>
          <w:szCs w:val="24"/>
        </w:rPr>
        <w:t>во 2014</w:t>
      </w:r>
      <w:r w:rsidRPr="00352F26">
        <w:rPr>
          <w:i/>
          <w:sz w:val="24"/>
          <w:szCs w:val="24"/>
        </w:rPr>
        <w:t xml:space="preserve"> година</w:t>
      </w:r>
    </w:p>
    <w:p w:rsidR="00352F26" w:rsidRDefault="00352F26" w:rsidP="0036725C">
      <w:pPr>
        <w:ind w:right="237"/>
        <w:jc w:val="both"/>
        <w:rPr>
          <w:sz w:val="24"/>
          <w:szCs w:val="24"/>
        </w:rPr>
      </w:pPr>
      <w:r>
        <w:rPr>
          <w:noProof/>
          <w:lang w:eastAsia="mk-MK"/>
        </w:rPr>
        <w:lastRenderedPageBreak/>
        <w:drawing>
          <wp:inline distT="0" distB="0" distL="0" distR="0" wp14:anchorId="064E6752" wp14:editId="08DE5F21">
            <wp:extent cx="5514975" cy="3038475"/>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2F26" w:rsidRDefault="00352F26" w:rsidP="0036725C">
      <w:pPr>
        <w:ind w:right="237"/>
        <w:jc w:val="both"/>
        <w:rPr>
          <w:sz w:val="24"/>
          <w:szCs w:val="24"/>
        </w:rPr>
      </w:pPr>
    </w:p>
    <w:p w:rsidR="00D035FB" w:rsidRDefault="00D035FB" w:rsidP="00D035FB">
      <w:pPr>
        <w:rPr>
          <w:sz w:val="32"/>
          <w:szCs w:val="32"/>
        </w:rPr>
      </w:pPr>
    </w:p>
    <w:p w:rsidR="00D71164" w:rsidRPr="00D71164" w:rsidRDefault="00D71164" w:rsidP="00D71164">
      <w:pPr>
        <w:ind w:right="237"/>
        <w:jc w:val="both"/>
        <w:rPr>
          <w:i/>
          <w:sz w:val="24"/>
          <w:szCs w:val="24"/>
        </w:rPr>
      </w:pPr>
      <w:r w:rsidRPr="00D71164">
        <w:rPr>
          <w:i/>
          <w:sz w:val="24"/>
          <w:szCs w:val="24"/>
        </w:rPr>
        <w:t xml:space="preserve">Поштенскиот сектор, а посебно писмоносните пратки во последните декади претрпуваат големи промени, како последица на развојот на новите </w:t>
      </w:r>
      <w:r>
        <w:rPr>
          <w:i/>
          <w:sz w:val="24"/>
          <w:szCs w:val="24"/>
        </w:rPr>
        <w:t xml:space="preserve">технологии, </w:t>
      </w:r>
      <w:r w:rsidRPr="00D71164">
        <w:rPr>
          <w:i/>
          <w:sz w:val="24"/>
          <w:szCs w:val="24"/>
        </w:rPr>
        <w:t>информации и комуникации, дерегулацијата, глобализацијата, зголемената конкуренција и промената на побарувачката на корисниците</w:t>
      </w:r>
      <w:r>
        <w:rPr>
          <w:i/>
          <w:sz w:val="24"/>
          <w:szCs w:val="24"/>
        </w:rPr>
        <w:t xml:space="preserve"> кон електронската комуникација</w:t>
      </w:r>
      <w:r w:rsidRPr="00D71164">
        <w:rPr>
          <w:i/>
          <w:sz w:val="24"/>
          <w:szCs w:val="24"/>
        </w:rPr>
        <w:t>. Статистичкиот извештај со своите анализи и под</w:t>
      </w:r>
      <w:r w:rsidR="00871689">
        <w:rPr>
          <w:i/>
          <w:sz w:val="24"/>
          <w:szCs w:val="24"/>
        </w:rPr>
        <w:t>атоци ја дава целосно сликата за</w:t>
      </w:r>
      <w:r w:rsidRPr="00D71164">
        <w:rPr>
          <w:i/>
          <w:sz w:val="24"/>
          <w:szCs w:val="24"/>
        </w:rPr>
        <w:t xml:space="preserve"> пазарот на поштенските услуги во Република Македонија, развојот и интересот </w:t>
      </w:r>
      <w:r w:rsidR="00871689">
        <w:rPr>
          <w:i/>
          <w:sz w:val="24"/>
          <w:szCs w:val="24"/>
        </w:rPr>
        <w:t>за</w:t>
      </w:r>
      <w:r w:rsidRPr="00D71164">
        <w:rPr>
          <w:i/>
          <w:sz w:val="24"/>
          <w:szCs w:val="24"/>
        </w:rPr>
        <w:t xml:space="preserve"> </w:t>
      </w:r>
      <w:r w:rsidR="00871689">
        <w:rPr>
          <w:i/>
          <w:sz w:val="24"/>
          <w:szCs w:val="24"/>
        </w:rPr>
        <w:t>истиот</w:t>
      </w:r>
      <w:r w:rsidRPr="00D71164">
        <w:rPr>
          <w:i/>
          <w:sz w:val="24"/>
          <w:szCs w:val="24"/>
        </w:rPr>
        <w:t xml:space="preserve">, квалитетот на обезбедувањето </w:t>
      </w:r>
      <w:r>
        <w:rPr>
          <w:i/>
          <w:sz w:val="24"/>
          <w:szCs w:val="24"/>
        </w:rPr>
        <w:t xml:space="preserve">на поштенските услуги </w:t>
      </w:r>
      <w:r w:rsidR="00871689">
        <w:rPr>
          <w:i/>
          <w:sz w:val="24"/>
          <w:szCs w:val="24"/>
        </w:rPr>
        <w:t xml:space="preserve">и го прикажува низ бројки моменталната поштенска целина. </w:t>
      </w:r>
    </w:p>
    <w:p w:rsidR="00E53827" w:rsidRPr="00D035FB" w:rsidRDefault="00E53827" w:rsidP="00D035FB">
      <w:pPr>
        <w:rPr>
          <w:sz w:val="32"/>
          <w:szCs w:val="32"/>
        </w:rPr>
      </w:pPr>
    </w:p>
    <w:sectPr w:rsidR="00E53827" w:rsidRPr="00D035FB" w:rsidSect="006A3417">
      <w:headerReference w:type="default" r:id="rId36"/>
      <w:pgSz w:w="11906" w:h="16838"/>
      <w:pgMar w:top="1440" w:right="849"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715" w:rsidRDefault="002E6715" w:rsidP="00E87E9A">
      <w:pPr>
        <w:spacing w:after="0" w:line="240" w:lineRule="auto"/>
      </w:pPr>
      <w:r>
        <w:separator/>
      </w:r>
    </w:p>
  </w:endnote>
  <w:endnote w:type="continuationSeparator" w:id="0">
    <w:p w:rsidR="002E6715" w:rsidRDefault="002E6715" w:rsidP="00E8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715" w:rsidRDefault="002E6715" w:rsidP="00E87E9A">
      <w:pPr>
        <w:spacing w:after="0" w:line="240" w:lineRule="auto"/>
      </w:pPr>
      <w:r>
        <w:separator/>
      </w:r>
    </w:p>
  </w:footnote>
  <w:footnote w:type="continuationSeparator" w:id="0">
    <w:p w:rsidR="002E6715" w:rsidRDefault="002E6715" w:rsidP="00E87E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1B" w:rsidRDefault="00042A1B" w:rsidP="00B97486">
    <w:pPr>
      <w:pStyle w:val="Header"/>
      <w:tabs>
        <w:tab w:val="clear" w:pos="4513"/>
        <w:tab w:val="clear" w:pos="9026"/>
        <w:tab w:val="center" w:pos="9639"/>
      </w:tabs>
      <w:ind w:right="-22"/>
      <w:jc w:val="right"/>
    </w:pPr>
    <w:r>
      <w:rPr>
        <w:noProof/>
        <w:lang w:eastAsia="mk-MK"/>
      </w:rPr>
      <mc:AlternateContent>
        <mc:Choice Requires="wps">
          <w:drawing>
            <wp:anchor distT="0" distB="0" distL="114300" distR="114300" simplePos="0" relativeHeight="251659264" behindDoc="0" locked="0" layoutInCell="0" allowOverlap="1" wp14:anchorId="231E2A7B" wp14:editId="57507817">
              <wp:simplePos x="0" y="0"/>
              <wp:positionH relativeFrom="page">
                <wp:align>right</wp:align>
              </wp:positionH>
              <wp:positionV relativeFrom="topMargin">
                <wp:align>center</wp:align>
              </wp:positionV>
              <wp:extent cx="914400" cy="170815"/>
              <wp:effectExtent l="0" t="0" r="0" b="635"/>
              <wp:wrapNone/>
              <wp:docPr id="476" name="Текстуална рамка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B90348"/>
                      </a:solidFill>
                      <a:extLst/>
                    </wps:spPr>
                    <wps:txbx>
                      <w:txbxContent>
                        <w:p w:rsidR="00042A1B" w:rsidRPr="00E87E9A" w:rsidRDefault="00042A1B">
                          <w:pPr>
                            <w:spacing w:after="0" w:line="240" w:lineRule="auto"/>
                            <w:rPr>
                              <w:color w:val="000000" w:themeColor="text1"/>
                              <w14:numForm w14:val="lining"/>
                            </w:rPr>
                          </w:pPr>
                          <w:r>
                            <w:rPr>
                              <w14:numForm w14:val="lining"/>
                            </w:rPr>
                            <w:fldChar w:fldCharType="begin"/>
                          </w:r>
                          <w:r>
                            <w:rPr>
                              <w14:numForm w14:val="lining"/>
                            </w:rPr>
                            <w:instrText>PAGE   \* MERGEFORMAT</w:instrText>
                          </w:r>
                          <w:r>
                            <w:rPr>
                              <w14:numForm w14:val="lining"/>
                            </w:rPr>
                            <w:fldChar w:fldCharType="separate"/>
                          </w:r>
                          <w:r w:rsidR="006C4B8A" w:rsidRPr="006C4B8A">
                            <w:rPr>
                              <w:noProof/>
                              <w:color w:val="FFFFFF" w:themeColor="background1"/>
                              <w14:numForm w14:val="lining"/>
                            </w:rPr>
                            <w:t>30</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уална рамка 476" o:spid="_x0000_s1027" type="#_x0000_t202" style="position:absolute;left:0;text-align:left;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" o:allowincell="f" fillcolor="#b90348" stroked="f">
              <v:textbox style="mso-fit-shape-to-text:t" inset=",0,,0">
                <w:txbxContent>
                  <w:p w:rsidR="00042A1B" w:rsidRPr="00E87E9A" w:rsidRDefault="00042A1B">
                    <w:pPr>
                      <w:spacing w:after="0" w:line="240" w:lineRule="auto"/>
                      <w:rPr>
                        <w:color w:val="000000" w:themeColor="text1"/>
                        <w14:numForm w14:val="lining"/>
                      </w:rPr>
                    </w:pPr>
                    <w:r>
                      <w:rPr>
                        <w14:numForm w14:val="lining"/>
                      </w:rPr>
                      <w:fldChar w:fldCharType="begin"/>
                    </w:r>
                    <w:r>
                      <w:rPr>
                        <w14:numForm w14:val="lining"/>
                      </w:rPr>
                      <w:instrText>PAGE   \* MERGEFORMAT</w:instrText>
                    </w:r>
                    <w:r>
                      <w:rPr>
                        <w14:numForm w14:val="lining"/>
                      </w:rPr>
                      <w:fldChar w:fldCharType="separate"/>
                    </w:r>
                    <w:r w:rsidR="006C4B8A" w:rsidRPr="006C4B8A">
                      <w:rPr>
                        <w:noProof/>
                        <w:color w:val="FFFFFF" w:themeColor="background1"/>
                        <w14:numForm w14:val="lining"/>
                      </w:rPr>
                      <w:t>30</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61A20"/>
    <w:multiLevelType w:val="multilevel"/>
    <w:tmpl w:val="ED58D8BE"/>
    <w:lvl w:ilvl="0">
      <w:start w:val="5"/>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EDD677A"/>
    <w:multiLevelType w:val="hybridMultilevel"/>
    <w:tmpl w:val="26362E76"/>
    <w:lvl w:ilvl="0" w:tplc="330CDDB2">
      <w:start w:val="2012"/>
      <w:numFmt w:val="bullet"/>
      <w:lvlText w:val="-"/>
      <w:lvlJc w:val="left"/>
      <w:pPr>
        <w:ind w:left="720" w:hanging="360"/>
      </w:pPr>
      <w:rPr>
        <w:rFonts w:ascii="Calibri" w:eastAsia="Times New Roman" w:hAnsi="Calibri" w:cs="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nsid w:val="25985FE4"/>
    <w:multiLevelType w:val="multilevel"/>
    <w:tmpl w:val="E62A5DDA"/>
    <w:lvl w:ilvl="0">
      <w:start w:val="5"/>
      <w:numFmt w:val="decimal"/>
      <w:lvlText w:val="%1."/>
      <w:lvlJc w:val="left"/>
      <w:pPr>
        <w:ind w:left="720" w:hanging="7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
    <w:nsid w:val="2C450D9A"/>
    <w:multiLevelType w:val="multilevel"/>
    <w:tmpl w:val="0CE2849E"/>
    <w:lvl w:ilvl="0">
      <w:start w:val="6"/>
      <w:numFmt w:val="decimal"/>
      <w:lvlText w:val="%1"/>
      <w:lvlJc w:val="left"/>
      <w:pPr>
        <w:ind w:left="360" w:hanging="360"/>
      </w:pPr>
      <w:rPr>
        <w:rFonts w:hint="default"/>
        <w:b/>
        <w:i/>
        <w:u w:val="single"/>
      </w:rPr>
    </w:lvl>
    <w:lvl w:ilvl="1">
      <w:start w:val="1"/>
      <w:numFmt w:val="decimal"/>
      <w:lvlText w:val="%1.%2"/>
      <w:lvlJc w:val="left"/>
      <w:pPr>
        <w:ind w:left="360" w:hanging="360"/>
      </w:pPr>
      <w:rPr>
        <w:rFonts w:hint="default"/>
        <w:b/>
        <w:i/>
        <w:u w:val="none"/>
      </w:rPr>
    </w:lvl>
    <w:lvl w:ilvl="2">
      <w:start w:val="1"/>
      <w:numFmt w:val="decimal"/>
      <w:lvlText w:val="%1.%2.%3"/>
      <w:lvlJc w:val="left"/>
      <w:pPr>
        <w:ind w:left="720" w:hanging="720"/>
      </w:pPr>
      <w:rPr>
        <w:rFonts w:hint="default"/>
        <w:b/>
        <w:i/>
        <w:u w:val="single"/>
      </w:rPr>
    </w:lvl>
    <w:lvl w:ilvl="3">
      <w:start w:val="1"/>
      <w:numFmt w:val="decimal"/>
      <w:lvlText w:val="%1.%2.%3.%4"/>
      <w:lvlJc w:val="left"/>
      <w:pPr>
        <w:ind w:left="720" w:hanging="720"/>
      </w:pPr>
      <w:rPr>
        <w:rFonts w:hint="default"/>
        <w:b/>
        <w:i/>
        <w:u w:val="single"/>
      </w:rPr>
    </w:lvl>
    <w:lvl w:ilvl="4">
      <w:start w:val="1"/>
      <w:numFmt w:val="decimal"/>
      <w:lvlText w:val="%1.%2.%3.%4.%5"/>
      <w:lvlJc w:val="left"/>
      <w:pPr>
        <w:ind w:left="1080" w:hanging="1080"/>
      </w:pPr>
      <w:rPr>
        <w:rFonts w:hint="default"/>
        <w:b/>
        <w:i/>
        <w:u w:val="single"/>
      </w:rPr>
    </w:lvl>
    <w:lvl w:ilvl="5">
      <w:start w:val="1"/>
      <w:numFmt w:val="decimal"/>
      <w:lvlText w:val="%1.%2.%3.%4.%5.%6"/>
      <w:lvlJc w:val="left"/>
      <w:pPr>
        <w:ind w:left="1080" w:hanging="1080"/>
      </w:pPr>
      <w:rPr>
        <w:rFonts w:hint="default"/>
        <w:b/>
        <w:i/>
        <w:u w:val="single"/>
      </w:rPr>
    </w:lvl>
    <w:lvl w:ilvl="6">
      <w:start w:val="1"/>
      <w:numFmt w:val="decimal"/>
      <w:lvlText w:val="%1.%2.%3.%4.%5.%6.%7"/>
      <w:lvlJc w:val="left"/>
      <w:pPr>
        <w:ind w:left="1440" w:hanging="1440"/>
      </w:pPr>
      <w:rPr>
        <w:rFonts w:hint="default"/>
        <w:b/>
        <w:i/>
        <w:u w:val="single"/>
      </w:rPr>
    </w:lvl>
    <w:lvl w:ilvl="7">
      <w:start w:val="1"/>
      <w:numFmt w:val="decimal"/>
      <w:lvlText w:val="%1.%2.%3.%4.%5.%6.%7.%8"/>
      <w:lvlJc w:val="left"/>
      <w:pPr>
        <w:ind w:left="1440" w:hanging="1440"/>
      </w:pPr>
      <w:rPr>
        <w:rFonts w:hint="default"/>
        <w:b/>
        <w:i/>
        <w:u w:val="single"/>
      </w:rPr>
    </w:lvl>
    <w:lvl w:ilvl="8">
      <w:start w:val="1"/>
      <w:numFmt w:val="decimal"/>
      <w:lvlText w:val="%1.%2.%3.%4.%5.%6.%7.%8.%9"/>
      <w:lvlJc w:val="left"/>
      <w:pPr>
        <w:ind w:left="1800" w:hanging="1800"/>
      </w:pPr>
      <w:rPr>
        <w:rFonts w:hint="default"/>
        <w:b/>
        <w:i/>
        <w:u w:val="single"/>
      </w:rPr>
    </w:lvl>
  </w:abstractNum>
  <w:abstractNum w:abstractNumId="4">
    <w:nsid w:val="2FE64630"/>
    <w:multiLevelType w:val="hybridMultilevel"/>
    <w:tmpl w:val="80409BFE"/>
    <w:lvl w:ilvl="0" w:tplc="042F000F">
      <w:start w:val="1"/>
      <w:numFmt w:val="decimal"/>
      <w:lvlText w:val="%1."/>
      <w:lvlJc w:val="left"/>
      <w:pPr>
        <w:ind w:left="1380" w:hanging="360"/>
      </w:pPr>
    </w:lvl>
    <w:lvl w:ilvl="1" w:tplc="042F0019">
      <w:start w:val="1"/>
      <w:numFmt w:val="lowerLetter"/>
      <w:lvlText w:val="%2."/>
      <w:lvlJc w:val="left"/>
      <w:pPr>
        <w:ind w:left="2100" w:hanging="360"/>
      </w:pPr>
    </w:lvl>
    <w:lvl w:ilvl="2" w:tplc="042F001B" w:tentative="1">
      <w:start w:val="1"/>
      <w:numFmt w:val="lowerRoman"/>
      <w:lvlText w:val="%3."/>
      <w:lvlJc w:val="right"/>
      <w:pPr>
        <w:ind w:left="2820" w:hanging="180"/>
      </w:pPr>
    </w:lvl>
    <w:lvl w:ilvl="3" w:tplc="042F000F" w:tentative="1">
      <w:start w:val="1"/>
      <w:numFmt w:val="decimal"/>
      <w:lvlText w:val="%4."/>
      <w:lvlJc w:val="left"/>
      <w:pPr>
        <w:ind w:left="3540" w:hanging="360"/>
      </w:pPr>
    </w:lvl>
    <w:lvl w:ilvl="4" w:tplc="042F0019" w:tentative="1">
      <w:start w:val="1"/>
      <w:numFmt w:val="lowerLetter"/>
      <w:lvlText w:val="%5."/>
      <w:lvlJc w:val="left"/>
      <w:pPr>
        <w:ind w:left="4260" w:hanging="360"/>
      </w:pPr>
    </w:lvl>
    <w:lvl w:ilvl="5" w:tplc="042F001B" w:tentative="1">
      <w:start w:val="1"/>
      <w:numFmt w:val="lowerRoman"/>
      <w:lvlText w:val="%6."/>
      <w:lvlJc w:val="right"/>
      <w:pPr>
        <w:ind w:left="4980" w:hanging="180"/>
      </w:pPr>
    </w:lvl>
    <w:lvl w:ilvl="6" w:tplc="042F000F" w:tentative="1">
      <w:start w:val="1"/>
      <w:numFmt w:val="decimal"/>
      <w:lvlText w:val="%7."/>
      <w:lvlJc w:val="left"/>
      <w:pPr>
        <w:ind w:left="5700" w:hanging="360"/>
      </w:pPr>
    </w:lvl>
    <w:lvl w:ilvl="7" w:tplc="042F0019" w:tentative="1">
      <w:start w:val="1"/>
      <w:numFmt w:val="lowerLetter"/>
      <w:lvlText w:val="%8."/>
      <w:lvlJc w:val="left"/>
      <w:pPr>
        <w:ind w:left="6420" w:hanging="360"/>
      </w:pPr>
    </w:lvl>
    <w:lvl w:ilvl="8" w:tplc="042F001B" w:tentative="1">
      <w:start w:val="1"/>
      <w:numFmt w:val="lowerRoman"/>
      <w:lvlText w:val="%9."/>
      <w:lvlJc w:val="right"/>
      <w:pPr>
        <w:ind w:left="7140" w:hanging="180"/>
      </w:pPr>
    </w:lvl>
  </w:abstractNum>
  <w:abstractNum w:abstractNumId="5">
    <w:nsid w:val="332377FC"/>
    <w:multiLevelType w:val="hybridMultilevel"/>
    <w:tmpl w:val="32E29346"/>
    <w:lvl w:ilvl="0" w:tplc="4DAE7646">
      <w:start w:val="1"/>
      <w:numFmt w:val="decimal"/>
      <w:lvlText w:val="%1."/>
      <w:lvlJc w:val="left"/>
      <w:pPr>
        <w:ind w:left="644" w:hanging="360"/>
      </w:pPr>
      <w:rPr>
        <w:b/>
        <w:i w:val="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8D27DE4"/>
    <w:multiLevelType w:val="hybridMultilevel"/>
    <w:tmpl w:val="E5EAD480"/>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3D970BFE"/>
    <w:multiLevelType w:val="hybridMultilevel"/>
    <w:tmpl w:val="5A26EF00"/>
    <w:lvl w:ilvl="0" w:tplc="53DEF932">
      <w:numFmt w:val="bullet"/>
      <w:lvlText w:val="-"/>
      <w:lvlJc w:val="left"/>
      <w:pPr>
        <w:ind w:left="1353" w:hanging="360"/>
      </w:pPr>
      <w:rPr>
        <w:rFonts w:asciiTheme="minorHAnsi" w:eastAsia="Times New Roman" w:hAnsiTheme="minorHAnsi" w:cs="Times New Roman" w:hint="default"/>
        <w:b/>
        <w:sz w:val="24"/>
      </w:rPr>
    </w:lvl>
    <w:lvl w:ilvl="1" w:tplc="042F0003" w:tentative="1">
      <w:start w:val="1"/>
      <w:numFmt w:val="bullet"/>
      <w:lvlText w:val="o"/>
      <w:lvlJc w:val="left"/>
      <w:pPr>
        <w:ind w:left="2073" w:hanging="360"/>
      </w:pPr>
      <w:rPr>
        <w:rFonts w:ascii="Courier New" w:hAnsi="Courier New" w:cs="Courier New" w:hint="default"/>
      </w:rPr>
    </w:lvl>
    <w:lvl w:ilvl="2" w:tplc="042F0005" w:tentative="1">
      <w:start w:val="1"/>
      <w:numFmt w:val="bullet"/>
      <w:lvlText w:val=""/>
      <w:lvlJc w:val="left"/>
      <w:pPr>
        <w:ind w:left="2793" w:hanging="360"/>
      </w:pPr>
      <w:rPr>
        <w:rFonts w:ascii="Wingdings" w:hAnsi="Wingdings" w:hint="default"/>
      </w:rPr>
    </w:lvl>
    <w:lvl w:ilvl="3" w:tplc="042F0001" w:tentative="1">
      <w:start w:val="1"/>
      <w:numFmt w:val="bullet"/>
      <w:lvlText w:val=""/>
      <w:lvlJc w:val="left"/>
      <w:pPr>
        <w:ind w:left="3513" w:hanging="360"/>
      </w:pPr>
      <w:rPr>
        <w:rFonts w:ascii="Symbol" w:hAnsi="Symbol" w:hint="default"/>
      </w:rPr>
    </w:lvl>
    <w:lvl w:ilvl="4" w:tplc="042F0003" w:tentative="1">
      <w:start w:val="1"/>
      <w:numFmt w:val="bullet"/>
      <w:lvlText w:val="o"/>
      <w:lvlJc w:val="left"/>
      <w:pPr>
        <w:ind w:left="4233" w:hanging="360"/>
      </w:pPr>
      <w:rPr>
        <w:rFonts w:ascii="Courier New" w:hAnsi="Courier New" w:cs="Courier New" w:hint="default"/>
      </w:rPr>
    </w:lvl>
    <w:lvl w:ilvl="5" w:tplc="042F0005" w:tentative="1">
      <w:start w:val="1"/>
      <w:numFmt w:val="bullet"/>
      <w:lvlText w:val=""/>
      <w:lvlJc w:val="left"/>
      <w:pPr>
        <w:ind w:left="4953" w:hanging="360"/>
      </w:pPr>
      <w:rPr>
        <w:rFonts w:ascii="Wingdings" w:hAnsi="Wingdings" w:hint="default"/>
      </w:rPr>
    </w:lvl>
    <w:lvl w:ilvl="6" w:tplc="042F0001" w:tentative="1">
      <w:start w:val="1"/>
      <w:numFmt w:val="bullet"/>
      <w:lvlText w:val=""/>
      <w:lvlJc w:val="left"/>
      <w:pPr>
        <w:ind w:left="5673" w:hanging="360"/>
      </w:pPr>
      <w:rPr>
        <w:rFonts w:ascii="Symbol" w:hAnsi="Symbol" w:hint="default"/>
      </w:rPr>
    </w:lvl>
    <w:lvl w:ilvl="7" w:tplc="042F0003" w:tentative="1">
      <w:start w:val="1"/>
      <w:numFmt w:val="bullet"/>
      <w:lvlText w:val="o"/>
      <w:lvlJc w:val="left"/>
      <w:pPr>
        <w:ind w:left="6393" w:hanging="360"/>
      </w:pPr>
      <w:rPr>
        <w:rFonts w:ascii="Courier New" w:hAnsi="Courier New" w:cs="Courier New" w:hint="default"/>
      </w:rPr>
    </w:lvl>
    <w:lvl w:ilvl="8" w:tplc="042F0005" w:tentative="1">
      <w:start w:val="1"/>
      <w:numFmt w:val="bullet"/>
      <w:lvlText w:val=""/>
      <w:lvlJc w:val="left"/>
      <w:pPr>
        <w:ind w:left="7113" w:hanging="360"/>
      </w:pPr>
      <w:rPr>
        <w:rFonts w:ascii="Wingdings" w:hAnsi="Wingdings" w:hint="default"/>
      </w:rPr>
    </w:lvl>
  </w:abstractNum>
  <w:abstractNum w:abstractNumId="8">
    <w:nsid w:val="48A348C1"/>
    <w:multiLevelType w:val="multilevel"/>
    <w:tmpl w:val="4CCC9158"/>
    <w:lvl w:ilvl="0">
      <w:start w:val="6"/>
      <w:numFmt w:val="decimal"/>
      <w:lvlText w:val="%1."/>
      <w:lvlJc w:val="left"/>
      <w:pPr>
        <w:ind w:left="1380" w:hanging="360"/>
      </w:pPr>
      <w:rPr>
        <w:rFonts w:hint="default"/>
      </w:rPr>
    </w:lvl>
    <w:lvl w:ilvl="1">
      <w:start w:val="1"/>
      <w:numFmt w:val="decimal"/>
      <w:isLgl/>
      <w:lvlText w:val="%1.%2"/>
      <w:lvlJc w:val="left"/>
      <w:pPr>
        <w:ind w:left="138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460" w:hanging="1440"/>
      </w:pPr>
      <w:rPr>
        <w:rFonts w:hint="default"/>
      </w:rPr>
    </w:lvl>
    <w:lvl w:ilvl="8">
      <w:start w:val="1"/>
      <w:numFmt w:val="decimal"/>
      <w:isLgl/>
      <w:lvlText w:val="%1.%2.%3.%4.%5.%6.%7.%8.%9"/>
      <w:lvlJc w:val="left"/>
      <w:pPr>
        <w:ind w:left="2820" w:hanging="1800"/>
      </w:pPr>
      <w:rPr>
        <w:rFonts w:hint="default"/>
      </w:rPr>
    </w:lvl>
  </w:abstractNum>
  <w:abstractNum w:abstractNumId="9">
    <w:nsid w:val="49DA0797"/>
    <w:multiLevelType w:val="hybridMultilevel"/>
    <w:tmpl w:val="80409BFE"/>
    <w:lvl w:ilvl="0" w:tplc="042F000F">
      <w:start w:val="1"/>
      <w:numFmt w:val="decimal"/>
      <w:lvlText w:val="%1."/>
      <w:lvlJc w:val="left"/>
      <w:pPr>
        <w:ind w:left="1380" w:hanging="360"/>
      </w:pPr>
    </w:lvl>
    <w:lvl w:ilvl="1" w:tplc="042F0019">
      <w:start w:val="1"/>
      <w:numFmt w:val="lowerLetter"/>
      <w:lvlText w:val="%2."/>
      <w:lvlJc w:val="left"/>
      <w:pPr>
        <w:ind w:left="2100" w:hanging="360"/>
      </w:pPr>
    </w:lvl>
    <w:lvl w:ilvl="2" w:tplc="042F001B" w:tentative="1">
      <w:start w:val="1"/>
      <w:numFmt w:val="lowerRoman"/>
      <w:lvlText w:val="%3."/>
      <w:lvlJc w:val="right"/>
      <w:pPr>
        <w:ind w:left="2820" w:hanging="180"/>
      </w:pPr>
    </w:lvl>
    <w:lvl w:ilvl="3" w:tplc="042F000F" w:tentative="1">
      <w:start w:val="1"/>
      <w:numFmt w:val="decimal"/>
      <w:lvlText w:val="%4."/>
      <w:lvlJc w:val="left"/>
      <w:pPr>
        <w:ind w:left="3540" w:hanging="360"/>
      </w:pPr>
    </w:lvl>
    <w:lvl w:ilvl="4" w:tplc="042F0019" w:tentative="1">
      <w:start w:val="1"/>
      <w:numFmt w:val="lowerLetter"/>
      <w:lvlText w:val="%5."/>
      <w:lvlJc w:val="left"/>
      <w:pPr>
        <w:ind w:left="4260" w:hanging="360"/>
      </w:pPr>
    </w:lvl>
    <w:lvl w:ilvl="5" w:tplc="042F001B" w:tentative="1">
      <w:start w:val="1"/>
      <w:numFmt w:val="lowerRoman"/>
      <w:lvlText w:val="%6."/>
      <w:lvlJc w:val="right"/>
      <w:pPr>
        <w:ind w:left="4980" w:hanging="180"/>
      </w:pPr>
    </w:lvl>
    <w:lvl w:ilvl="6" w:tplc="042F000F" w:tentative="1">
      <w:start w:val="1"/>
      <w:numFmt w:val="decimal"/>
      <w:lvlText w:val="%7."/>
      <w:lvlJc w:val="left"/>
      <w:pPr>
        <w:ind w:left="5700" w:hanging="360"/>
      </w:pPr>
    </w:lvl>
    <w:lvl w:ilvl="7" w:tplc="042F0019" w:tentative="1">
      <w:start w:val="1"/>
      <w:numFmt w:val="lowerLetter"/>
      <w:lvlText w:val="%8."/>
      <w:lvlJc w:val="left"/>
      <w:pPr>
        <w:ind w:left="6420" w:hanging="360"/>
      </w:pPr>
    </w:lvl>
    <w:lvl w:ilvl="8" w:tplc="042F001B" w:tentative="1">
      <w:start w:val="1"/>
      <w:numFmt w:val="lowerRoman"/>
      <w:lvlText w:val="%9."/>
      <w:lvlJc w:val="right"/>
      <w:pPr>
        <w:ind w:left="7140" w:hanging="180"/>
      </w:pPr>
    </w:lvl>
  </w:abstractNum>
  <w:abstractNum w:abstractNumId="10">
    <w:nsid w:val="4A6C5AA7"/>
    <w:multiLevelType w:val="multilevel"/>
    <w:tmpl w:val="B6F0955E"/>
    <w:lvl w:ilvl="0">
      <w:start w:val="1"/>
      <w:numFmt w:val="decimal"/>
      <w:lvlText w:val="%1."/>
      <w:lvlJc w:val="left"/>
      <w:pPr>
        <w:ind w:left="360" w:hanging="360"/>
      </w:pPr>
      <w:rPr>
        <w:b/>
        <w:i/>
        <w:sz w:val="24"/>
        <w:szCs w:val="28"/>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573B37A3"/>
    <w:multiLevelType w:val="hybridMultilevel"/>
    <w:tmpl w:val="898E8B4C"/>
    <w:lvl w:ilvl="0" w:tplc="330CDDB2">
      <w:start w:val="2012"/>
      <w:numFmt w:val="bullet"/>
      <w:lvlText w:val="-"/>
      <w:lvlJc w:val="left"/>
      <w:pPr>
        <w:ind w:left="1069" w:hanging="360"/>
      </w:pPr>
      <w:rPr>
        <w:rFonts w:ascii="Calibri" w:eastAsia="Times New Roman" w:hAnsi="Calibri" w:cs="Calibri" w:hint="default"/>
      </w:rPr>
    </w:lvl>
    <w:lvl w:ilvl="1" w:tplc="042F0003" w:tentative="1">
      <w:start w:val="1"/>
      <w:numFmt w:val="bullet"/>
      <w:lvlText w:val="o"/>
      <w:lvlJc w:val="left"/>
      <w:pPr>
        <w:ind w:left="1789" w:hanging="360"/>
      </w:pPr>
      <w:rPr>
        <w:rFonts w:ascii="Courier New" w:hAnsi="Courier New" w:cs="Courier New" w:hint="default"/>
      </w:rPr>
    </w:lvl>
    <w:lvl w:ilvl="2" w:tplc="042F0005" w:tentative="1">
      <w:start w:val="1"/>
      <w:numFmt w:val="bullet"/>
      <w:lvlText w:val=""/>
      <w:lvlJc w:val="left"/>
      <w:pPr>
        <w:ind w:left="2509" w:hanging="360"/>
      </w:pPr>
      <w:rPr>
        <w:rFonts w:ascii="Wingdings" w:hAnsi="Wingdings" w:hint="default"/>
      </w:rPr>
    </w:lvl>
    <w:lvl w:ilvl="3" w:tplc="042F0001" w:tentative="1">
      <w:start w:val="1"/>
      <w:numFmt w:val="bullet"/>
      <w:lvlText w:val=""/>
      <w:lvlJc w:val="left"/>
      <w:pPr>
        <w:ind w:left="3229" w:hanging="360"/>
      </w:pPr>
      <w:rPr>
        <w:rFonts w:ascii="Symbol" w:hAnsi="Symbol" w:hint="default"/>
      </w:rPr>
    </w:lvl>
    <w:lvl w:ilvl="4" w:tplc="042F0003" w:tentative="1">
      <w:start w:val="1"/>
      <w:numFmt w:val="bullet"/>
      <w:lvlText w:val="o"/>
      <w:lvlJc w:val="left"/>
      <w:pPr>
        <w:ind w:left="3949" w:hanging="360"/>
      </w:pPr>
      <w:rPr>
        <w:rFonts w:ascii="Courier New" w:hAnsi="Courier New" w:cs="Courier New" w:hint="default"/>
      </w:rPr>
    </w:lvl>
    <w:lvl w:ilvl="5" w:tplc="042F0005" w:tentative="1">
      <w:start w:val="1"/>
      <w:numFmt w:val="bullet"/>
      <w:lvlText w:val=""/>
      <w:lvlJc w:val="left"/>
      <w:pPr>
        <w:ind w:left="4669" w:hanging="360"/>
      </w:pPr>
      <w:rPr>
        <w:rFonts w:ascii="Wingdings" w:hAnsi="Wingdings" w:hint="default"/>
      </w:rPr>
    </w:lvl>
    <w:lvl w:ilvl="6" w:tplc="042F0001" w:tentative="1">
      <w:start w:val="1"/>
      <w:numFmt w:val="bullet"/>
      <w:lvlText w:val=""/>
      <w:lvlJc w:val="left"/>
      <w:pPr>
        <w:ind w:left="5389" w:hanging="360"/>
      </w:pPr>
      <w:rPr>
        <w:rFonts w:ascii="Symbol" w:hAnsi="Symbol" w:hint="default"/>
      </w:rPr>
    </w:lvl>
    <w:lvl w:ilvl="7" w:tplc="042F0003" w:tentative="1">
      <w:start w:val="1"/>
      <w:numFmt w:val="bullet"/>
      <w:lvlText w:val="o"/>
      <w:lvlJc w:val="left"/>
      <w:pPr>
        <w:ind w:left="6109" w:hanging="360"/>
      </w:pPr>
      <w:rPr>
        <w:rFonts w:ascii="Courier New" w:hAnsi="Courier New" w:cs="Courier New" w:hint="default"/>
      </w:rPr>
    </w:lvl>
    <w:lvl w:ilvl="8" w:tplc="042F0005" w:tentative="1">
      <w:start w:val="1"/>
      <w:numFmt w:val="bullet"/>
      <w:lvlText w:val=""/>
      <w:lvlJc w:val="left"/>
      <w:pPr>
        <w:ind w:left="6829" w:hanging="360"/>
      </w:pPr>
      <w:rPr>
        <w:rFonts w:ascii="Wingdings" w:hAnsi="Wingdings" w:hint="default"/>
      </w:rPr>
    </w:lvl>
  </w:abstractNum>
  <w:abstractNum w:abstractNumId="12">
    <w:nsid w:val="5A861D43"/>
    <w:multiLevelType w:val="hybridMultilevel"/>
    <w:tmpl w:val="4FB682AA"/>
    <w:lvl w:ilvl="0" w:tplc="53DEF932">
      <w:numFmt w:val="bullet"/>
      <w:lvlText w:val="-"/>
      <w:lvlJc w:val="left"/>
      <w:pPr>
        <w:ind w:left="720" w:hanging="360"/>
      </w:pPr>
      <w:rPr>
        <w:rFonts w:asciiTheme="minorHAnsi" w:eastAsia="Times New Roman" w:hAnsiTheme="minorHAnsi" w:cs="Times New Roman" w:hint="default"/>
        <w:b/>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5E6E65B1"/>
    <w:multiLevelType w:val="multilevel"/>
    <w:tmpl w:val="E7ECDF20"/>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4">
    <w:nsid w:val="62D3173D"/>
    <w:multiLevelType w:val="hybridMultilevel"/>
    <w:tmpl w:val="B1F0C63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661613C2"/>
    <w:multiLevelType w:val="hybridMultilevel"/>
    <w:tmpl w:val="80409BFE"/>
    <w:lvl w:ilvl="0" w:tplc="042F000F">
      <w:start w:val="1"/>
      <w:numFmt w:val="decimal"/>
      <w:lvlText w:val="%1."/>
      <w:lvlJc w:val="left"/>
      <w:pPr>
        <w:ind w:left="1380" w:hanging="360"/>
      </w:pPr>
    </w:lvl>
    <w:lvl w:ilvl="1" w:tplc="042F0019">
      <w:start w:val="1"/>
      <w:numFmt w:val="lowerLetter"/>
      <w:lvlText w:val="%2."/>
      <w:lvlJc w:val="left"/>
      <w:pPr>
        <w:ind w:left="2100" w:hanging="360"/>
      </w:pPr>
    </w:lvl>
    <w:lvl w:ilvl="2" w:tplc="042F001B" w:tentative="1">
      <w:start w:val="1"/>
      <w:numFmt w:val="lowerRoman"/>
      <w:lvlText w:val="%3."/>
      <w:lvlJc w:val="right"/>
      <w:pPr>
        <w:ind w:left="2820" w:hanging="180"/>
      </w:pPr>
    </w:lvl>
    <w:lvl w:ilvl="3" w:tplc="042F000F" w:tentative="1">
      <w:start w:val="1"/>
      <w:numFmt w:val="decimal"/>
      <w:lvlText w:val="%4."/>
      <w:lvlJc w:val="left"/>
      <w:pPr>
        <w:ind w:left="3540" w:hanging="360"/>
      </w:pPr>
    </w:lvl>
    <w:lvl w:ilvl="4" w:tplc="042F0019" w:tentative="1">
      <w:start w:val="1"/>
      <w:numFmt w:val="lowerLetter"/>
      <w:lvlText w:val="%5."/>
      <w:lvlJc w:val="left"/>
      <w:pPr>
        <w:ind w:left="4260" w:hanging="360"/>
      </w:pPr>
    </w:lvl>
    <w:lvl w:ilvl="5" w:tplc="042F001B" w:tentative="1">
      <w:start w:val="1"/>
      <w:numFmt w:val="lowerRoman"/>
      <w:lvlText w:val="%6."/>
      <w:lvlJc w:val="right"/>
      <w:pPr>
        <w:ind w:left="4980" w:hanging="180"/>
      </w:pPr>
    </w:lvl>
    <w:lvl w:ilvl="6" w:tplc="042F000F" w:tentative="1">
      <w:start w:val="1"/>
      <w:numFmt w:val="decimal"/>
      <w:lvlText w:val="%7."/>
      <w:lvlJc w:val="left"/>
      <w:pPr>
        <w:ind w:left="5700" w:hanging="360"/>
      </w:pPr>
    </w:lvl>
    <w:lvl w:ilvl="7" w:tplc="042F0019" w:tentative="1">
      <w:start w:val="1"/>
      <w:numFmt w:val="lowerLetter"/>
      <w:lvlText w:val="%8."/>
      <w:lvlJc w:val="left"/>
      <w:pPr>
        <w:ind w:left="6420" w:hanging="360"/>
      </w:pPr>
    </w:lvl>
    <w:lvl w:ilvl="8" w:tplc="042F001B" w:tentative="1">
      <w:start w:val="1"/>
      <w:numFmt w:val="lowerRoman"/>
      <w:lvlText w:val="%9."/>
      <w:lvlJc w:val="right"/>
      <w:pPr>
        <w:ind w:left="7140" w:hanging="180"/>
      </w:pPr>
    </w:lvl>
  </w:abstractNum>
  <w:abstractNum w:abstractNumId="16">
    <w:nsid w:val="749E24E9"/>
    <w:multiLevelType w:val="multilevel"/>
    <w:tmpl w:val="94CE39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7899646B"/>
    <w:multiLevelType w:val="multilevel"/>
    <w:tmpl w:val="FD646DA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7D184353"/>
    <w:multiLevelType w:val="hybridMultilevel"/>
    <w:tmpl w:val="B1F0C63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11"/>
  </w:num>
  <w:num w:numId="5">
    <w:abstractNumId w:val="2"/>
  </w:num>
  <w:num w:numId="6">
    <w:abstractNumId w:val="15"/>
  </w:num>
  <w:num w:numId="7">
    <w:abstractNumId w:val="12"/>
  </w:num>
  <w:num w:numId="8">
    <w:abstractNumId w:val="18"/>
  </w:num>
  <w:num w:numId="9">
    <w:abstractNumId w:val="3"/>
  </w:num>
  <w:num w:numId="10">
    <w:abstractNumId w:val="14"/>
  </w:num>
  <w:num w:numId="11">
    <w:abstractNumId w:val="4"/>
  </w:num>
  <w:num w:numId="12">
    <w:abstractNumId w:val="9"/>
  </w:num>
  <w:num w:numId="13">
    <w:abstractNumId w:val="5"/>
  </w:num>
  <w:num w:numId="14">
    <w:abstractNumId w:val="0"/>
  </w:num>
  <w:num w:numId="15">
    <w:abstractNumId w:val="13"/>
  </w:num>
  <w:num w:numId="16">
    <w:abstractNumId w:val="6"/>
  </w:num>
  <w:num w:numId="17">
    <w:abstractNumId w:val="16"/>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9A"/>
    <w:rsid w:val="00004339"/>
    <w:rsid w:val="0001110F"/>
    <w:rsid w:val="00042A1B"/>
    <w:rsid w:val="000529D2"/>
    <w:rsid w:val="0005497E"/>
    <w:rsid w:val="00061023"/>
    <w:rsid w:val="000716F4"/>
    <w:rsid w:val="00084004"/>
    <w:rsid w:val="00084239"/>
    <w:rsid w:val="000A5221"/>
    <w:rsid w:val="000C78E0"/>
    <w:rsid w:val="000F2F93"/>
    <w:rsid w:val="00114D71"/>
    <w:rsid w:val="00115D9B"/>
    <w:rsid w:val="00122C72"/>
    <w:rsid w:val="00126203"/>
    <w:rsid w:val="00161F87"/>
    <w:rsid w:val="00166587"/>
    <w:rsid w:val="00170EF8"/>
    <w:rsid w:val="00173A37"/>
    <w:rsid w:val="001872CC"/>
    <w:rsid w:val="001C7DBD"/>
    <w:rsid w:val="0024587E"/>
    <w:rsid w:val="00261D50"/>
    <w:rsid w:val="00262CA9"/>
    <w:rsid w:val="002D6234"/>
    <w:rsid w:val="002E6715"/>
    <w:rsid w:val="002F78C5"/>
    <w:rsid w:val="0030275C"/>
    <w:rsid w:val="00303A49"/>
    <w:rsid w:val="003233BB"/>
    <w:rsid w:val="00352F26"/>
    <w:rsid w:val="00353937"/>
    <w:rsid w:val="0036725C"/>
    <w:rsid w:val="0036776D"/>
    <w:rsid w:val="00374691"/>
    <w:rsid w:val="00392839"/>
    <w:rsid w:val="00395303"/>
    <w:rsid w:val="003A40CD"/>
    <w:rsid w:val="003C4093"/>
    <w:rsid w:val="00401F06"/>
    <w:rsid w:val="00413370"/>
    <w:rsid w:val="00414233"/>
    <w:rsid w:val="00422FC2"/>
    <w:rsid w:val="0043663B"/>
    <w:rsid w:val="00437282"/>
    <w:rsid w:val="00481315"/>
    <w:rsid w:val="00496CC2"/>
    <w:rsid w:val="004A33C5"/>
    <w:rsid w:val="004C1D55"/>
    <w:rsid w:val="004D597D"/>
    <w:rsid w:val="005071B2"/>
    <w:rsid w:val="0053745B"/>
    <w:rsid w:val="00543C6C"/>
    <w:rsid w:val="00570773"/>
    <w:rsid w:val="00570E69"/>
    <w:rsid w:val="005966C1"/>
    <w:rsid w:val="005B0146"/>
    <w:rsid w:val="005D6A6B"/>
    <w:rsid w:val="005E6486"/>
    <w:rsid w:val="00613387"/>
    <w:rsid w:val="006157E1"/>
    <w:rsid w:val="00632C71"/>
    <w:rsid w:val="00662813"/>
    <w:rsid w:val="00676021"/>
    <w:rsid w:val="006A3417"/>
    <w:rsid w:val="006B1EBA"/>
    <w:rsid w:val="006C4B8A"/>
    <w:rsid w:val="006C5511"/>
    <w:rsid w:val="0070648E"/>
    <w:rsid w:val="00725869"/>
    <w:rsid w:val="00734993"/>
    <w:rsid w:val="007520A9"/>
    <w:rsid w:val="00771A0A"/>
    <w:rsid w:val="007859E7"/>
    <w:rsid w:val="007913A2"/>
    <w:rsid w:val="007A0AD9"/>
    <w:rsid w:val="007A698D"/>
    <w:rsid w:val="007A7374"/>
    <w:rsid w:val="007B00AC"/>
    <w:rsid w:val="007B10BA"/>
    <w:rsid w:val="007D2248"/>
    <w:rsid w:val="007E161E"/>
    <w:rsid w:val="007E5E6E"/>
    <w:rsid w:val="007E642E"/>
    <w:rsid w:val="008127B7"/>
    <w:rsid w:val="00814914"/>
    <w:rsid w:val="00826D59"/>
    <w:rsid w:val="008375FA"/>
    <w:rsid w:val="00871689"/>
    <w:rsid w:val="008804CA"/>
    <w:rsid w:val="00883FD5"/>
    <w:rsid w:val="00896981"/>
    <w:rsid w:val="008C5D65"/>
    <w:rsid w:val="008E3C44"/>
    <w:rsid w:val="00940FEF"/>
    <w:rsid w:val="009458A6"/>
    <w:rsid w:val="00952FA7"/>
    <w:rsid w:val="0095661F"/>
    <w:rsid w:val="00962BD2"/>
    <w:rsid w:val="009653C3"/>
    <w:rsid w:val="009700F4"/>
    <w:rsid w:val="00985795"/>
    <w:rsid w:val="00994324"/>
    <w:rsid w:val="009B51B4"/>
    <w:rsid w:val="009C160B"/>
    <w:rsid w:val="009C2946"/>
    <w:rsid w:val="00A04333"/>
    <w:rsid w:val="00A36E23"/>
    <w:rsid w:val="00A520D5"/>
    <w:rsid w:val="00A53B16"/>
    <w:rsid w:val="00A53BB9"/>
    <w:rsid w:val="00A53CDA"/>
    <w:rsid w:val="00AA76D0"/>
    <w:rsid w:val="00B13157"/>
    <w:rsid w:val="00B342E3"/>
    <w:rsid w:val="00B509E7"/>
    <w:rsid w:val="00B730F1"/>
    <w:rsid w:val="00B74AFE"/>
    <w:rsid w:val="00B97486"/>
    <w:rsid w:val="00BB0562"/>
    <w:rsid w:val="00BC161B"/>
    <w:rsid w:val="00BC1BCF"/>
    <w:rsid w:val="00BE0D63"/>
    <w:rsid w:val="00BE20C5"/>
    <w:rsid w:val="00C03EAB"/>
    <w:rsid w:val="00C11E2B"/>
    <w:rsid w:val="00C13FB4"/>
    <w:rsid w:val="00C1682A"/>
    <w:rsid w:val="00C26D67"/>
    <w:rsid w:val="00C30404"/>
    <w:rsid w:val="00C347AA"/>
    <w:rsid w:val="00C9068E"/>
    <w:rsid w:val="00CE5DED"/>
    <w:rsid w:val="00CF4481"/>
    <w:rsid w:val="00D035FB"/>
    <w:rsid w:val="00D20AEF"/>
    <w:rsid w:val="00D71164"/>
    <w:rsid w:val="00D855AA"/>
    <w:rsid w:val="00DA2453"/>
    <w:rsid w:val="00DC1130"/>
    <w:rsid w:val="00DC6398"/>
    <w:rsid w:val="00E53827"/>
    <w:rsid w:val="00E7765A"/>
    <w:rsid w:val="00E87E9A"/>
    <w:rsid w:val="00E960EA"/>
    <w:rsid w:val="00EA2CA2"/>
    <w:rsid w:val="00EC7449"/>
    <w:rsid w:val="00EF5C15"/>
    <w:rsid w:val="00F328A0"/>
    <w:rsid w:val="00F3573C"/>
    <w:rsid w:val="00F4494E"/>
    <w:rsid w:val="00F45A5A"/>
    <w:rsid w:val="00F5640F"/>
    <w:rsid w:val="00F77F65"/>
    <w:rsid w:val="00F96EA4"/>
    <w:rsid w:val="00FA491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7E9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E9A"/>
  </w:style>
  <w:style w:type="paragraph" w:styleId="Footer">
    <w:name w:val="footer"/>
    <w:basedOn w:val="Normal"/>
    <w:link w:val="FooterChar"/>
    <w:uiPriority w:val="99"/>
    <w:unhideWhenUsed/>
    <w:rsid w:val="00E87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E9A"/>
  </w:style>
  <w:style w:type="paragraph" w:styleId="BalloonText">
    <w:name w:val="Balloon Text"/>
    <w:basedOn w:val="Normal"/>
    <w:link w:val="BalloonTextChar"/>
    <w:uiPriority w:val="99"/>
    <w:semiHidden/>
    <w:unhideWhenUsed/>
    <w:rsid w:val="00E87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9A"/>
    <w:rPr>
      <w:rFonts w:ascii="Tahoma" w:hAnsi="Tahoma" w:cs="Tahoma"/>
      <w:sz w:val="16"/>
      <w:szCs w:val="16"/>
    </w:rPr>
  </w:style>
  <w:style w:type="character" w:customStyle="1" w:styleId="Heading1Char">
    <w:name w:val="Heading 1 Char"/>
    <w:basedOn w:val="DefaultParagraphFont"/>
    <w:link w:val="Heading1"/>
    <w:uiPriority w:val="9"/>
    <w:rsid w:val="00E87E9A"/>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link w:val="NoSpacingChar"/>
    <w:uiPriority w:val="1"/>
    <w:qFormat/>
    <w:rsid w:val="00E87E9A"/>
    <w:pPr>
      <w:spacing w:after="0" w:line="240" w:lineRule="auto"/>
    </w:pPr>
    <w:rPr>
      <w:rFonts w:eastAsiaTheme="minorEastAsia"/>
      <w:lang w:eastAsia="mk-MK"/>
    </w:rPr>
  </w:style>
  <w:style w:type="character" w:customStyle="1" w:styleId="NoSpacingChar">
    <w:name w:val="No Spacing Char"/>
    <w:basedOn w:val="DefaultParagraphFont"/>
    <w:link w:val="NoSpacing"/>
    <w:uiPriority w:val="1"/>
    <w:rsid w:val="00E87E9A"/>
    <w:rPr>
      <w:rFonts w:eastAsiaTheme="minorEastAsia"/>
      <w:lang w:eastAsia="mk-MK"/>
    </w:rPr>
  </w:style>
  <w:style w:type="paragraph" w:styleId="ListParagraph">
    <w:name w:val="List Paragraph"/>
    <w:basedOn w:val="Normal"/>
    <w:uiPriority w:val="34"/>
    <w:qFormat/>
    <w:rsid w:val="00BB0562"/>
    <w:pPr>
      <w:ind w:left="720"/>
      <w:contextualSpacing/>
    </w:pPr>
  </w:style>
  <w:style w:type="table" w:customStyle="1" w:styleId="TableGrid1">
    <w:name w:val="Table Grid1"/>
    <w:basedOn w:val="TableNormal"/>
    <w:next w:val="TableGrid"/>
    <w:uiPriority w:val="59"/>
    <w:rsid w:val="009C2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C2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45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6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62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F4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E5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11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0043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A7374"/>
    <w:pPr>
      <w:outlineLvl w:val="9"/>
    </w:pPr>
    <w:rPr>
      <w:lang w:val="mk-MK" w:eastAsia="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7E9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E9A"/>
  </w:style>
  <w:style w:type="paragraph" w:styleId="Footer">
    <w:name w:val="footer"/>
    <w:basedOn w:val="Normal"/>
    <w:link w:val="FooterChar"/>
    <w:uiPriority w:val="99"/>
    <w:unhideWhenUsed/>
    <w:rsid w:val="00E87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E9A"/>
  </w:style>
  <w:style w:type="paragraph" w:styleId="BalloonText">
    <w:name w:val="Balloon Text"/>
    <w:basedOn w:val="Normal"/>
    <w:link w:val="BalloonTextChar"/>
    <w:uiPriority w:val="99"/>
    <w:semiHidden/>
    <w:unhideWhenUsed/>
    <w:rsid w:val="00E87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9A"/>
    <w:rPr>
      <w:rFonts w:ascii="Tahoma" w:hAnsi="Tahoma" w:cs="Tahoma"/>
      <w:sz w:val="16"/>
      <w:szCs w:val="16"/>
    </w:rPr>
  </w:style>
  <w:style w:type="character" w:customStyle="1" w:styleId="Heading1Char">
    <w:name w:val="Heading 1 Char"/>
    <w:basedOn w:val="DefaultParagraphFont"/>
    <w:link w:val="Heading1"/>
    <w:uiPriority w:val="9"/>
    <w:rsid w:val="00E87E9A"/>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link w:val="NoSpacingChar"/>
    <w:uiPriority w:val="1"/>
    <w:qFormat/>
    <w:rsid w:val="00E87E9A"/>
    <w:pPr>
      <w:spacing w:after="0" w:line="240" w:lineRule="auto"/>
    </w:pPr>
    <w:rPr>
      <w:rFonts w:eastAsiaTheme="minorEastAsia"/>
      <w:lang w:eastAsia="mk-MK"/>
    </w:rPr>
  </w:style>
  <w:style w:type="character" w:customStyle="1" w:styleId="NoSpacingChar">
    <w:name w:val="No Spacing Char"/>
    <w:basedOn w:val="DefaultParagraphFont"/>
    <w:link w:val="NoSpacing"/>
    <w:uiPriority w:val="1"/>
    <w:rsid w:val="00E87E9A"/>
    <w:rPr>
      <w:rFonts w:eastAsiaTheme="minorEastAsia"/>
      <w:lang w:eastAsia="mk-MK"/>
    </w:rPr>
  </w:style>
  <w:style w:type="paragraph" w:styleId="ListParagraph">
    <w:name w:val="List Paragraph"/>
    <w:basedOn w:val="Normal"/>
    <w:uiPriority w:val="34"/>
    <w:qFormat/>
    <w:rsid w:val="00BB0562"/>
    <w:pPr>
      <w:ind w:left="720"/>
      <w:contextualSpacing/>
    </w:pPr>
  </w:style>
  <w:style w:type="table" w:customStyle="1" w:styleId="TableGrid1">
    <w:name w:val="Table Grid1"/>
    <w:basedOn w:val="TableNormal"/>
    <w:next w:val="TableGrid"/>
    <w:uiPriority w:val="59"/>
    <w:rsid w:val="009C2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C2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45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6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62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F4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E5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11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0043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A7374"/>
    <w:pPr>
      <w:outlineLvl w:val="9"/>
    </w:pPr>
    <w:rPr>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5415886532098797"/>
          <c:y val="0"/>
          <c:w val="0.49348534201954397"/>
          <c:h val="0.90447761194029852"/>
        </c:manualLayout>
      </c:layout>
      <c:pieChart>
        <c:varyColors val="1"/>
        <c:ser>
          <c:idx val="0"/>
          <c:order val="0"/>
          <c:tx>
            <c:strRef>
              <c:f>Sheet1!$B$1</c:f>
              <c:strCache>
                <c:ptCount val="1"/>
                <c:pt idx="0">
                  <c:v>Број на вработени во поштенскиот сектор - 2013 год.</c:v>
                </c:pt>
              </c:strCache>
            </c:strRef>
          </c:tx>
          <c:explosion val="25"/>
          <c:dPt>
            <c:idx val="0"/>
            <c:bubble3D val="0"/>
            <c:explosion val="2"/>
            <c:spPr>
              <a:gradFill>
                <a:gsLst>
                  <a:gs pos="0">
                    <a:srgbClr val="000082"/>
                  </a:gs>
                  <a:gs pos="30000">
                    <a:srgbClr val="66008F"/>
                  </a:gs>
                  <a:gs pos="64999">
                    <a:srgbClr val="BA0066"/>
                  </a:gs>
                  <a:gs pos="89999">
                    <a:srgbClr val="FF0000"/>
                  </a:gs>
                  <a:gs pos="100000">
                    <a:srgbClr val="FF8200"/>
                  </a:gs>
                </a:gsLst>
                <a:lin ang="8100000" scaled="0"/>
              </a:gradFill>
            </c:spPr>
          </c:dPt>
          <c:dPt>
            <c:idx val="1"/>
            <c:bubble3D val="0"/>
            <c:explosion val="22"/>
            <c:spPr>
              <a:solidFill>
                <a:srgbClr val="DA105D"/>
              </a:solidFill>
            </c:spPr>
          </c:dPt>
          <c:dLbls>
            <c:numFmt formatCode="#,##0" sourceLinked="0"/>
            <c:txPr>
              <a:bodyPr/>
              <a:lstStyle/>
              <a:p>
                <a:pPr>
                  <a:defRPr sz="1600">
                    <a:solidFill>
                      <a:schemeClr val="bg1"/>
                    </a:solidFill>
                  </a:defRPr>
                </a:pPr>
                <a:endParaRPr lang="mk-MK"/>
              </a:p>
            </c:txPr>
            <c:showLegendKey val="0"/>
            <c:showVal val="1"/>
            <c:showCatName val="0"/>
            <c:showSerName val="0"/>
            <c:showPercent val="0"/>
            <c:showBubbleSize val="0"/>
            <c:showLeaderLines val="1"/>
          </c:dLbls>
          <c:cat>
            <c:strRef>
              <c:f>Sheet1!$A$2:$A$3</c:f>
              <c:strCache>
                <c:ptCount val="2"/>
                <c:pt idx="0">
                  <c:v>Македонска пошта</c:v>
                </c:pt>
                <c:pt idx="1">
                  <c:v>Останати даватели на поштенски услуги</c:v>
                </c:pt>
              </c:strCache>
            </c:strRef>
          </c:cat>
          <c:val>
            <c:numRef>
              <c:f>Sheet1!$B$2:$B$3</c:f>
              <c:numCache>
                <c:formatCode>General</c:formatCode>
                <c:ptCount val="2"/>
                <c:pt idx="0">
                  <c:v>2306</c:v>
                </c:pt>
                <c:pt idx="1">
                  <c:v>534</c:v>
                </c:pt>
              </c:numCache>
            </c:numRef>
          </c:val>
        </c:ser>
        <c:dLbls>
          <c:showLegendKey val="0"/>
          <c:showVal val="0"/>
          <c:showCatName val="0"/>
          <c:showSerName val="0"/>
          <c:showPercent val="0"/>
          <c:showBubbleSize val="0"/>
          <c:showLeaderLines val="1"/>
        </c:dLbls>
        <c:firstSliceAng val="258"/>
      </c:pieChart>
    </c:plotArea>
    <c:legend>
      <c:legendPos val="r"/>
      <c:layout>
        <c:manualLayout>
          <c:xMode val="edge"/>
          <c:yMode val="edge"/>
          <c:x val="0"/>
          <c:y val="0.89601817683237361"/>
          <c:w val="0.99809296639223033"/>
          <c:h val="0.10245528264190856"/>
        </c:manualLayout>
      </c:layout>
      <c:overlay val="0"/>
      <c:txPr>
        <a:bodyPr/>
        <a:lstStyle/>
        <a:p>
          <a:pPr>
            <a:defRPr sz="1400"/>
          </a:pPr>
          <a:endParaRPr lang="mk-M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9681374906670698"/>
          <c:y val="1.8806610392537497E-2"/>
          <c:w val="0.618334226546289"/>
          <c:h val="0.9811933896074625"/>
        </c:manualLayout>
      </c:layout>
      <c:doughnutChart>
        <c:varyColors val="1"/>
        <c:ser>
          <c:idx val="0"/>
          <c:order val="0"/>
          <c:tx>
            <c:strRef>
              <c:f>Sheet1!$B$1</c:f>
              <c:strCache>
                <c:ptCount val="1"/>
                <c:pt idx="0">
                  <c:v>Писма</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dPt>
            <c:idx val="0"/>
            <c:bubble3D val="0"/>
            <c:spPr>
              <a:solidFill>
                <a:srgbClr val="E7779F"/>
              </a:solidFill>
            </c:spPr>
          </c:dPt>
          <c:dPt>
            <c:idx val="1"/>
            <c:bubble3D val="0"/>
            <c:spPr>
              <a:solidFill>
                <a:srgbClr val="A40C46"/>
              </a:solidFill>
            </c:spPr>
          </c:dPt>
          <c:dPt>
            <c:idx val="2"/>
            <c:bubble3D val="0"/>
          </c:dPt>
          <c:dPt>
            <c:idx val="3"/>
            <c:bubble3D val="0"/>
            <c:spPr>
              <a:solidFill>
                <a:schemeClr val="accent4">
                  <a:lumMod val="50000"/>
                </a:schemeClr>
              </a:solidFill>
            </c:spPr>
          </c:dPt>
          <c:dPt>
            <c:idx val="4"/>
            <c:bubble3D val="0"/>
            <c:spPr>
              <a:solidFill>
                <a:srgbClr val="7030A0"/>
              </a:solidFill>
            </c:spPr>
          </c:dPt>
          <c:dLbls>
            <c:dLbl>
              <c:idx val="0"/>
              <c:layout>
                <c:manualLayout>
                  <c:x val="1.6574734440917397E-2"/>
                  <c:y val="2.7098247068146952E-2"/>
                </c:manualLayout>
              </c:layout>
              <c:showLegendKey val="0"/>
              <c:showVal val="0"/>
              <c:showCatName val="1"/>
              <c:showSerName val="0"/>
              <c:showPercent val="1"/>
              <c:showBubbleSize val="0"/>
            </c:dLbl>
            <c:dLbl>
              <c:idx val="1"/>
              <c:layout>
                <c:manualLayout>
                  <c:x val="3.1835025857369923E-3"/>
                  <c:y val="4.5339207945267234E-3"/>
                </c:manualLayout>
              </c:layout>
              <c:showLegendKey val="0"/>
              <c:showVal val="0"/>
              <c:showCatName val="1"/>
              <c:showSerName val="0"/>
              <c:showPercent val="1"/>
              <c:showBubbleSize val="0"/>
            </c:dLbl>
            <c:dLbl>
              <c:idx val="2"/>
              <c:layout>
                <c:manualLayout>
                  <c:x val="-5.9441993834540317E-2"/>
                  <c:y val="4.9410721166778511E-4"/>
                </c:manualLayout>
              </c:layout>
              <c:showLegendKey val="0"/>
              <c:showVal val="0"/>
              <c:showCatName val="1"/>
              <c:showSerName val="0"/>
              <c:showPercent val="1"/>
              <c:showBubbleSize val="0"/>
            </c:dLbl>
            <c:dLbl>
              <c:idx val="3"/>
              <c:layout>
                <c:manualLayout>
                  <c:x val="3.0906267606601531E-2"/>
                  <c:y val="-4.7388051562806725E-2"/>
                </c:manualLayout>
              </c:layout>
              <c:showLegendKey val="0"/>
              <c:showVal val="0"/>
              <c:showCatName val="1"/>
              <c:showSerName val="0"/>
              <c:showPercent val="1"/>
              <c:showBubbleSize val="0"/>
            </c:dLbl>
            <c:dLbl>
              <c:idx val="4"/>
              <c:layout>
                <c:manualLayout>
                  <c:x val="1.1653909753427418E-2"/>
                  <c:y val="3.9877563780981673E-2"/>
                </c:manualLayout>
              </c:layout>
              <c:showLegendKey val="0"/>
              <c:showVal val="0"/>
              <c:showCatName val="1"/>
              <c:showSerName val="0"/>
              <c:showPercent val="1"/>
              <c:showBubbleSize val="0"/>
            </c:dLbl>
            <c:numFmt formatCode="General" sourceLinked="0"/>
            <c:txPr>
              <a:bodyPr/>
              <a:lstStyle/>
              <a:p>
                <a:pPr>
                  <a:defRPr sz="1100" b="1">
                    <a:solidFill>
                      <a:schemeClr val="bg1"/>
                    </a:solidFill>
                  </a:defRPr>
                </a:pPr>
                <a:endParaRPr lang="mk-MK"/>
              </a:p>
            </c:txPr>
            <c:showLegendKey val="0"/>
            <c:showVal val="0"/>
            <c:showCatName val="1"/>
            <c:showSerName val="0"/>
            <c:showPercent val="1"/>
            <c:showBubbleSize val="0"/>
            <c:showLeaderLines val="1"/>
          </c:dLbls>
          <c:cat>
            <c:strRef>
              <c:f>Sheet1!$A$2:$A$6</c:f>
              <c:strCache>
                <c:ptCount val="5"/>
                <c:pt idx="0">
                  <c:v>Eкспресни услуги</c:v>
                </c:pt>
                <c:pt idx="1">
                  <c:v>Курирски услуги</c:v>
                </c:pt>
                <c:pt idx="2">
                  <c:v>Препорачани услуги</c:v>
                </c:pt>
                <c:pt idx="3">
                  <c:v>Вредносни услуги</c:v>
                </c:pt>
                <c:pt idx="4">
                  <c:v>Други услуги</c:v>
                </c:pt>
              </c:strCache>
            </c:strRef>
          </c:cat>
          <c:val>
            <c:numRef>
              <c:f>Sheet1!$B$2:$B$6</c:f>
              <c:numCache>
                <c:formatCode>General</c:formatCode>
                <c:ptCount val="5"/>
                <c:pt idx="0">
                  <c:v>174020</c:v>
                </c:pt>
                <c:pt idx="1">
                  <c:v>73744</c:v>
                </c:pt>
                <c:pt idx="2">
                  <c:v>609599</c:v>
                </c:pt>
                <c:pt idx="3">
                  <c:v>1589</c:v>
                </c:pt>
                <c:pt idx="4">
                  <c:v>46566</c:v>
                </c:pt>
              </c:numCache>
            </c:numRef>
          </c:val>
        </c:ser>
        <c:dLbls>
          <c:showLegendKey val="0"/>
          <c:showVal val="0"/>
          <c:showCatName val="0"/>
          <c:showSerName val="0"/>
          <c:showPercent val="0"/>
          <c:showBubbleSize val="0"/>
          <c:showLeaderLines val="1"/>
        </c:dLbls>
        <c:firstSliceAng val="156"/>
        <c:holeSize val="50"/>
      </c:doughnutChart>
      <c:spPr>
        <a:noFill/>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21057979849293032"/>
          <c:y val="0"/>
          <c:w val="0.54946236559139783"/>
          <c:h val="1"/>
        </c:manualLayout>
      </c:layout>
      <c:pieChart>
        <c:varyColors val="1"/>
        <c:ser>
          <c:idx val="0"/>
          <c:order val="0"/>
          <c:tx>
            <c:strRef>
              <c:f>Sheet1!$B$1</c:f>
              <c:strCache>
                <c:ptCount val="1"/>
                <c:pt idx="0">
                  <c:v>Column1</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explosion val="11"/>
          <c:dPt>
            <c:idx val="1"/>
            <c:bubble3D val="0"/>
            <c:spPr>
              <a:solidFill>
                <a:srgbClr val="E7779F"/>
              </a:solidFill>
            </c:spPr>
          </c:dPt>
          <c:dLbls>
            <c:dLbl>
              <c:idx val="0"/>
              <c:layout>
                <c:manualLayout>
                  <c:x val="-0.21168889646237501"/>
                  <c:y val="0.12873440814484319"/>
                </c:manualLayout>
              </c:layout>
              <c:dLblPos val="bestFit"/>
              <c:showLegendKey val="0"/>
              <c:showVal val="0"/>
              <c:showCatName val="1"/>
              <c:showSerName val="0"/>
              <c:showPercent val="1"/>
              <c:showBubbleSize val="0"/>
            </c:dLbl>
            <c:dLbl>
              <c:idx val="1"/>
              <c:layout>
                <c:manualLayout>
                  <c:x val="0.29920819574972485"/>
                  <c:y val="-0.14095020731104263"/>
                </c:manualLayout>
              </c:layout>
              <c:dLblPos val="bestFit"/>
              <c:showLegendKey val="0"/>
              <c:showVal val="0"/>
              <c:showCatName val="1"/>
              <c:showSerName val="0"/>
              <c:showPercent val="1"/>
              <c:showBubbleSize val="0"/>
            </c:dLbl>
            <c:numFmt formatCode="0.0%" sourceLinked="0"/>
            <c:txPr>
              <a:bodyPr/>
              <a:lstStyle/>
              <a:p>
                <a:pPr>
                  <a:defRPr sz="1400">
                    <a:solidFill>
                      <a:schemeClr val="bg1"/>
                    </a:solidFill>
                  </a:defRPr>
                </a:pPr>
                <a:endParaRPr lang="mk-MK"/>
              </a:p>
            </c:txPr>
            <c:dLblPos val="inEnd"/>
            <c:showLegendKey val="0"/>
            <c:showVal val="0"/>
            <c:showCatName val="1"/>
            <c:showSerName val="0"/>
            <c:showPercent val="1"/>
            <c:showBubbleSize val="0"/>
            <c:showLeaderLines val="1"/>
          </c:dLbls>
          <c:cat>
            <c:strRef>
              <c:f>Sheet1!$A$2:$A$3</c:f>
              <c:strCache>
                <c:ptCount val="2"/>
                <c:pt idx="0">
                  <c:v>Внатрешен сообраќај</c:v>
                </c:pt>
                <c:pt idx="1">
                  <c:v>Меѓународен сообраќај</c:v>
                </c:pt>
              </c:strCache>
            </c:strRef>
          </c:cat>
          <c:val>
            <c:numRef>
              <c:f>Sheet1!$B$2:$B$3</c:f>
              <c:numCache>
                <c:formatCode>General</c:formatCode>
                <c:ptCount val="2"/>
                <c:pt idx="0">
                  <c:v>2989304</c:v>
                </c:pt>
                <c:pt idx="1">
                  <c:v>73932</c:v>
                </c:pt>
              </c:numCache>
            </c:numRef>
          </c:val>
        </c:ser>
        <c:dLbls>
          <c:showLegendKey val="0"/>
          <c:showVal val="0"/>
          <c:showCatName val="0"/>
          <c:showSerName val="0"/>
          <c:showPercent val="0"/>
          <c:showBubbleSize val="0"/>
          <c:showLeaderLines val="1"/>
        </c:dLbls>
        <c:firstSliceAng val="242"/>
      </c:pieChart>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8.346256197142024E-2"/>
          <c:y val="0.11899356330458692"/>
          <c:w val="0.84006871536891226"/>
          <c:h val="0.78278308961379828"/>
        </c:manualLayout>
      </c:layout>
      <c:barChart>
        <c:barDir val="bar"/>
        <c:grouping val="clustered"/>
        <c:varyColors val="0"/>
        <c:ser>
          <c:idx val="0"/>
          <c:order val="0"/>
          <c:tx>
            <c:strRef>
              <c:f>Sheet1!$B$1</c:f>
              <c:strCache>
                <c:ptCount val="1"/>
                <c:pt idx="0">
                  <c:v>Внатрешен сообраќај</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721531</c:v>
                </c:pt>
                <c:pt idx="1">
                  <c:v>1077015</c:v>
                </c:pt>
                <c:pt idx="2">
                  <c:v>2505934</c:v>
                </c:pt>
                <c:pt idx="3">
                  <c:v>2989304</c:v>
                </c:pt>
              </c:numCache>
            </c:numRef>
          </c:val>
        </c:ser>
        <c:ser>
          <c:idx val="1"/>
          <c:order val="1"/>
          <c:tx>
            <c:strRef>
              <c:f>Sheet1!$C$1</c:f>
              <c:strCache>
                <c:ptCount val="1"/>
                <c:pt idx="0">
                  <c:v>Меѓународен сообраќај</c:v>
                </c:pt>
              </c:strCache>
            </c:strRef>
          </c:tx>
          <c:spPr>
            <a:solidFill>
              <a:srgbClr val="7030A0"/>
            </a:solidFill>
          </c:spPr>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67873</c:v>
                </c:pt>
                <c:pt idx="1">
                  <c:v>47456</c:v>
                </c:pt>
                <c:pt idx="2">
                  <c:v>69871</c:v>
                </c:pt>
                <c:pt idx="3">
                  <c:v>73932</c:v>
                </c:pt>
              </c:numCache>
            </c:numRef>
          </c:val>
        </c:ser>
        <c:dLbls>
          <c:showLegendKey val="0"/>
          <c:showVal val="0"/>
          <c:showCatName val="0"/>
          <c:showSerName val="0"/>
          <c:showPercent val="0"/>
          <c:showBubbleSize val="0"/>
        </c:dLbls>
        <c:gapWidth val="150"/>
        <c:axId val="62816640"/>
        <c:axId val="62818176"/>
      </c:barChart>
      <c:catAx>
        <c:axId val="62816640"/>
        <c:scaling>
          <c:orientation val="minMax"/>
        </c:scaling>
        <c:delete val="0"/>
        <c:axPos val="l"/>
        <c:numFmt formatCode="General" sourceLinked="1"/>
        <c:majorTickMark val="out"/>
        <c:minorTickMark val="none"/>
        <c:tickLblPos val="nextTo"/>
        <c:txPr>
          <a:bodyPr/>
          <a:lstStyle/>
          <a:p>
            <a:pPr>
              <a:defRPr sz="1100"/>
            </a:pPr>
            <a:endParaRPr lang="mk-MK"/>
          </a:p>
        </c:txPr>
        <c:crossAx val="62818176"/>
        <c:crosses val="autoZero"/>
        <c:auto val="1"/>
        <c:lblAlgn val="ctr"/>
        <c:lblOffset val="100"/>
        <c:noMultiLvlLbl val="0"/>
      </c:catAx>
      <c:valAx>
        <c:axId val="62818176"/>
        <c:scaling>
          <c:orientation val="minMax"/>
          <c:max val="2600000"/>
          <c:min val="5000"/>
        </c:scaling>
        <c:delete val="0"/>
        <c:axPos val="b"/>
        <c:majorGridlines/>
        <c:numFmt formatCode="#,##0" sourceLinked="0"/>
        <c:majorTickMark val="out"/>
        <c:minorTickMark val="none"/>
        <c:tickLblPos val="nextTo"/>
        <c:crossAx val="62816640"/>
        <c:crosses val="autoZero"/>
        <c:crossBetween val="between"/>
      </c:valAx>
    </c:plotArea>
    <c:legend>
      <c:legendPos val="r"/>
      <c:layout>
        <c:manualLayout>
          <c:xMode val="edge"/>
          <c:yMode val="edge"/>
          <c:x val="8.0348315835520531E-2"/>
          <c:y val="3.6392325959255121E-3"/>
          <c:w val="0.84557761009040555"/>
          <c:h val="0.14333715623171445"/>
        </c:manualLayout>
      </c:layout>
      <c:overlay val="0"/>
      <c:txPr>
        <a:bodyPr/>
        <a:lstStyle/>
        <a:p>
          <a:pPr>
            <a:defRPr sz="1200"/>
          </a:pPr>
          <a:endParaRPr lang="mk-MK"/>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view3D>
      <c:rotX val="0"/>
      <c:rotY val="0"/>
      <c:depthPercent val="100"/>
      <c:rAngAx val="0"/>
      <c:perspective val="0"/>
    </c:view3D>
    <c:floor>
      <c:thickness val="0"/>
    </c:floor>
    <c:sideWall>
      <c:thickness val="0"/>
    </c:sideWall>
    <c:backWall>
      <c:thickness val="0"/>
    </c:backWall>
    <c:plotArea>
      <c:layout>
        <c:manualLayout>
          <c:layoutTarget val="inner"/>
          <c:xMode val="edge"/>
          <c:yMode val="edge"/>
          <c:x val="5.8160563262925472E-2"/>
          <c:y val="1.63858608583018E-2"/>
          <c:w val="0.90082761289454205"/>
          <c:h val="0.89925186624399223"/>
        </c:manualLayout>
      </c:layout>
      <c:bar3DChart>
        <c:barDir val="bar"/>
        <c:grouping val="percentStacked"/>
        <c:varyColors val="0"/>
        <c:ser>
          <c:idx val="0"/>
          <c:order val="0"/>
          <c:tx>
            <c:strRef>
              <c:f>Sheet1!$B$1</c:f>
              <c:strCache>
                <c:ptCount val="1"/>
                <c:pt idx="0">
                  <c:v>Пратки за кореподенција</c:v>
                </c:pt>
              </c:strCache>
            </c:strRef>
          </c:tx>
          <c:spPr>
            <a:solidFill>
              <a:srgbClr val="A40C46"/>
            </a:solidFill>
          </c:spPr>
          <c:invertIfNegative val="0"/>
          <c:dLbls>
            <c:dLbl>
              <c:idx val="0"/>
              <c:layout>
                <c:manualLayout>
                  <c:x val="-1.3307947649440335E-2"/>
                  <c:y val="0"/>
                </c:manualLayout>
              </c:layout>
              <c:showLegendKey val="0"/>
              <c:showVal val="0"/>
              <c:showCatName val="0"/>
              <c:showSerName val="1"/>
              <c:showPercent val="0"/>
              <c:showBubbleSize val="0"/>
            </c:dLbl>
            <c:spPr>
              <a:noFill/>
            </c:spPr>
            <c:txPr>
              <a:bodyPr/>
              <a:lstStyle/>
              <a:p>
                <a:pPr>
                  <a:defRPr sz="1200">
                    <a:solidFill>
                      <a:schemeClr val="bg1"/>
                    </a:solidFill>
                  </a:defRPr>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Меѓународен сообраќај</c:v>
                </c:pt>
              </c:strCache>
            </c:strRef>
          </c:cat>
          <c:val>
            <c:numRef>
              <c:f>Sheet1!$B$2:$B$3</c:f>
              <c:numCache>
                <c:formatCode>General</c:formatCode>
                <c:ptCount val="2"/>
                <c:pt idx="0">
                  <c:v>874112</c:v>
                </c:pt>
                <c:pt idx="1">
                  <c:v>34676</c:v>
                </c:pt>
              </c:numCache>
            </c:numRef>
          </c:val>
        </c:ser>
        <c:ser>
          <c:idx val="1"/>
          <c:order val="1"/>
          <c:tx>
            <c:strRef>
              <c:f>Sheet1!$C$1</c:f>
              <c:strCache>
                <c:ptCount val="1"/>
                <c:pt idx="0">
                  <c:v>Пакети</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invertIfNegative val="0"/>
          <c:dLbls>
            <c:dLbl>
              <c:idx val="0"/>
              <c:layout>
                <c:manualLayout>
                  <c:x val="-4.1949173976824948E-3"/>
                  <c:y val="-4.0054900083142733E-3"/>
                </c:manualLayout>
              </c:layout>
              <c:showLegendKey val="0"/>
              <c:showVal val="0"/>
              <c:showCatName val="0"/>
              <c:showSerName val="1"/>
              <c:showPercent val="0"/>
              <c:showBubbleSize val="0"/>
            </c:dLbl>
            <c:txPr>
              <a:bodyPr/>
              <a:lstStyle/>
              <a:p>
                <a:pPr>
                  <a:defRPr sz="1200">
                    <a:solidFill>
                      <a:schemeClr val="bg1"/>
                    </a:solidFill>
                  </a:defRPr>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Меѓународен сообраќај</c:v>
                </c:pt>
              </c:strCache>
            </c:strRef>
          </c:cat>
          <c:val>
            <c:numRef>
              <c:f>Sheet1!$C$2:$C$3</c:f>
              <c:numCache>
                <c:formatCode>General</c:formatCode>
                <c:ptCount val="2"/>
                <c:pt idx="0">
                  <c:v>926948</c:v>
                </c:pt>
                <c:pt idx="1">
                  <c:v>39235</c:v>
                </c:pt>
              </c:numCache>
            </c:numRef>
          </c:val>
        </c:ser>
        <c:ser>
          <c:idx val="2"/>
          <c:order val="2"/>
          <c:tx>
            <c:strRef>
              <c:f>Sheet1!$D$1</c:f>
              <c:strCache>
                <c:ptCount val="1"/>
                <c:pt idx="0">
                  <c:v>Директна пошта  </c:v>
                </c:pt>
              </c:strCache>
            </c:strRef>
          </c:tx>
          <c:spPr>
            <a:solidFill>
              <a:srgbClr val="E7779F"/>
            </a:solidFill>
          </c:spPr>
          <c:invertIfNegative val="0"/>
          <c:dLbls>
            <c:dLbl>
              <c:idx val="0"/>
              <c:layout>
                <c:manualLayout>
                  <c:x val="0"/>
                  <c:y val="1.0707190825831847E-2"/>
                </c:manualLayout>
              </c:layout>
              <c:showLegendKey val="0"/>
              <c:showVal val="0"/>
              <c:showCatName val="0"/>
              <c:showSerName val="1"/>
              <c:showPercent val="0"/>
              <c:showBubbleSize val="0"/>
            </c:dLbl>
            <c:dLbl>
              <c:idx val="1"/>
              <c:delete val="1"/>
            </c:dLbl>
            <c:txPr>
              <a:bodyPr/>
              <a:lstStyle/>
              <a:p>
                <a:pPr>
                  <a:defRPr sz="1200">
                    <a:solidFill>
                      <a:sysClr val="windowText" lastClr="000000"/>
                    </a:solidFill>
                  </a:defRPr>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Меѓународен сообраќај</c:v>
                </c:pt>
              </c:strCache>
            </c:strRef>
          </c:cat>
          <c:val>
            <c:numRef>
              <c:f>Sheet1!$D$2:$D$3</c:f>
              <c:numCache>
                <c:formatCode>General</c:formatCode>
                <c:ptCount val="2"/>
                <c:pt idx="0">
                  <c:v>35620</c:v>
                </c:pt>
                <c:pt idx="1">
                  <c:v>0</c:v>
                </c:pt>
              </c:numCache>
            </c:numRef>
          </c:val>
        </c:ser>
        <c:dLbls>
          <c:showLegendKey val="0"/>
          <c:showVal val="0"/>
          <c:showCatName val="0"/>
          <c:showSerName val="0"/>
          <c:showPercent val="0"/>
          <c:showBubbleSize val="0"/>
        </c:dLbls>
        <c:gapWidth val="104"/>
        <c:gapDepth val="72"/>
        <c:shape val="cylinder"/>
        <c:axId val="124093184"/>
        <c:axId val="124094720"/>
        <c:axId val="0"/>
      </c:bar3DChart>
      <c:catAx>
        <c:axId val="124093184"/>
        <c:scaling>
          <c:orientation val="minMax"/>
        </c:scaling>
        <c:delete val="0"/>
        <c:axPos val="l"/>
        <c:majorTickMark val="out"/>
        <c:minorTickMark val="none"/>
        <c:tickLblPos val="nextTo"/>
        <c:txPr>
          <a:bodyPr rot="-5400000" vert="horz"/>
          <a:lstStyle/>
          <a:p>
            <a:pPr>
              <a:defRPr sz="900"/>
            </a:pPr>
            <a:endParaRPr lang="mk-MK"/>
          </a:p>
        </c:txPr>
        <c:crossAx val="124094720"/>
        <c:crosses val="autoZero"/>
        <c:auto val="1"/>
        <c:lblAlgn val="ctr"/>
        <c:lblOffset val="100"/>
        <c:noMultiLvlLbl val="0"/>
      </c:catAx>
      <c:valAx>
        <c:axId val="124094720"/>
        <c:scaling>
          <c:orientation val="minMax"/>
        </c:scaling>
        <c:delete val="0"/>
        <c:axPos val="b"/>
        <c:majorGridlines/>
        <c:numFmt formatCode="0%" sourceLinked="1"/>
        <c:majorTickMark val="out"/>
        <c:minorTickMark val="none"/>
        <c:tickLblPos val="nextTo"/>
        <c:crossAx val="124093184"/>
        <c:crosses val="autoZero"/>
        <c:crossBetween val="between"/>
      </c:valAx>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manualLayout>
          <c:layoutTarget val="inner"/>
          <c:xMode val="edge"/>
          <c:yMode val="edge"/>
          <c:x val="2.9977764407356056E-2"/>
          <c:y val="2.022462639324556E-2"/>
          <c:w val="0.8450919565699091"/>
          <c:h val="0.89070297107170548"/>
        </c:manualLayout>
      </c:layout>
      <c:barChart>
        <c:barDir val="bar"/>
        <c:grouping val="clustered"/>
        <c:varyColors val="0"/>
        <c:ser>
          <c:idx val="0"/>
          <c:order val="0"/>
          <c:tx>
            <c:strRef>
              <c:f>Sheet1!$B$1</c:f>
              <c:strCache>
                <c:ptCount val="1"/>
                <c:pt idx="0">
                  <c:v>2009</c:v>
                </c:pt>
              </c:strCache>
            </c:strRef>
          </c:tx>
          <c:spPr>
            <a:solidFill>
              <a:srgbClr val="7030A0"/>
            </a:solidFill>
          </c:spPr>
          <c:invertIfNegative val="0"/>
          <c:dLbls>
            <c:dLbl>
              <c:idx val="0"/>
              <c:numFmt formatCode="#,##0.0" sourceLinked="0"/>
              <c:spPr/>
              <c:txPr>
                <a:bodyPr/>
                <a:lstStyle/>
                <a:p>
                  <a:pPr>
                    <a:defRPr sz="1200" b="1"/>
                  </a:pPr>
                  <a:endParaRPr lang="mk-MK"/>
                </a:p>
              </c:txPr>
              <c:showLegendKey val="0"/>
              <c:showVal val="1"/>
              <c:showCatName val="0"/>
              <c:showSerName val="0"/>
              <c:showPercent val="0"/>
              <c:showBubbleSize val="0"/>
            </c:dLbl>
            <c:txPr>
              <a:bodyPr/>
              <a:lstStyle/>
              <a:p>
                <a:pPr>
                  <a:defRPr sz="1200" b="1"/>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Sheet1!$B$2</c:f>
              <c:numCache>
                <c:formatCode>General</c:formatCode>
                <c:ptCount val="1"/>
                <c:pt idx="0">
                  <c:v>28.5</c:v>
                </c:pt>
              </c:numCache>
            </c:numRef>
          </c:val>
        </c:ser>
        <c:ser>
          <c:idx val="1"/>
          <c:order val="1"/>
          <c:tx>
            <c:strRef>
              <c:f>Sheet1!$C$1</c:f>
              <c:strCache>
                <c:ptCount val="1"/>
                <c:pt idx="0">
                  <c:v>2010</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invertIfNegative val="0"/>
          <c:dLbls>
            <c:txPr>
              <a:bodyPr/>
              <a:lstStyle/>
              <a:p>
                <a:pPr>
                  <a:defRPr sz="1200" b="1"/>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Sheet1!$C$2</c:f>
              <c:numCache>
                <c:formatCode>General</c:formatCode>
                <c:ptCount val="1"/>
                <c:pt idx="0">
                  <c:v>30.9</c:v>
                </c:pt>
              </c:numCache>
            </c:numRef>
          </c:val>
        </c:ser>
        <c:ser>
          <c:idx val="2"/>
          <c:order val="2"/>
          <c:tx>
            <c:strRef>
              <c:f>Sheet1!$D$1</c:f>
              <c:strCache>
                <c:ptCount val="1"/>
                <c:pt idx="0">
                  <c:v>2011</c:v>
                </c:pt>
              </c:strCache>
            </c:strRef>
          </c:tx>
          <c:spPr>
            <a:solidFill>
              <a:srgbClr val="E7779F"/>
            </a:solidFill>
          </c:spPr>
          <c:invertIfNegative val="0"/>
          <c:dLbls>
            <c:txPr>
              <a:bodyPr/>
              <a:lstStyle/>
              <a:p>
                <a:pPr>
                  <a:defRPr sz="1200" b="1"/>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Sheet1!$D$2</c:f>
              <c:numCache>
                <c:formatCode>General</c:formatCode>
                <c:ptCount val="1"/>
                <c:pt idx="0">
                  <c:v>26.3</c:v>
                </c:pt>
              </c:numCache>
            </c:numRef>
          </c:val>
        </c:ser>
        <c:ser>
          <c:idx val="3"/>
          <c:order val="3"/>
          <c:tx>
            <c:strRef>
              <c:f>Sheet1!$E$1</c:f>
              <c:strCache>
                <c:ptCount val="1"/>
                <c:pt idx="0">
                  <c:v>2012</c:v>
                </c:pt>
              </c:strCache>
            </c:strRef>
          </c:tx>
          <c:spPr>
            <a:solidFill>
              <a:srgbClr val="6C082E"/>
            </a:solidFill>
          </c:spPr>
          <c:invertIfNegative val="0"/>
          <c:dLbls>
            <c:txPr>
              <a:bodyPr/>
              <a:lstStyle/>
              <a:p>
                <a:pPr>
                  <a:defRPr sz="1200" b="1"/>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Sheet1!$E$2</c:f>
              <c:numCache>
                <c:formatCode>General</c:formatCode>
                <c:ptCount val="1"/>
                <c:pt idx="0">
                  <c:v>25.6</c:v>
                </c:pt>
              </c:numCache>
            </c:numRef>
          </c:val>
        </c:ser>
        <c:ser>
          <c:idx val="4"/>
          <c:order val="4"/>
          <c:tx>
            <c:strRef>
              <c:f>Sheet1!$F$1</c:f>
              <c:strCache>
                <c:ptCount val="1"/>
                <c:pt idx="0">
                  <c:v>2013</c:v>
                </c:pt>
              </c:strCache>
            </c:strRef>
          </c:tx>
          <c:spPr>
            <a:solidFill>
              <a:srgbClr val="C969D9"/>
            </a:solidFill>
          </c:spPr>
          <c:invertIfNegative val="0"/>
          <c:dLbls>
            <c:txPr>
              <a:bodyPr/>
              <a:lstStyle/>
              <a:p>
                <a:pPr>
                  <a:defRPr sz="1200" b="1"/>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Sheet1!$F$2</c:f>
              <c:numCache>
                <c:formatCode>General</c:formatCode>
                <c:ptCount val="1"/>
                <c:pt idx="0">
                  <c:v>24.7</c:v>
                </c:pt>
              </c:numCache>
            </c:numRef>
          </c:val>
        </c:ser>
        <c:ser>
          <c:idx val="5"/>
          <c:order val="5"/>
          <c:tx>
            <c:strRef>
              <c:f>Sheet1!$G$1</c:f>
              <c:strCache>
                <c:ptCount val="1"/>
                <c:pt idx="0">
                  <c:v>2014</c:v>
                </c:pt>
              </c:strCache>
            </c:strRef>
          </c:tx>
          <c:spPr>
            <a:solidFill>
              <a:srgbClr val="F9BDEC"/>
            </a:solidFill>
          </c:spPr>
          <c:invertIfNegative val="0"/>
          <c:dLbls>
            <c:txPr>
              <a:bodyPr/>
              <a:lstStyle/>
              <a:p>
                <a:pPr>
                  <a:defRPr sz="1200" b="1">
                    <a:solidFill>
                      <a:sysClr val="windowText" lastClr="000000"/>
                    </a:solidFill>
                  </a:defRPr>
                </a:pPr>
                <a:endParaRPr lang="mk-MK"/>
              </a:p>
            </c:txPr>
            <c:showLegendKey val="0"/>
            <c:showVal val="1"/>
            <c:showCatName val="0"/>
            <c:showSerName val="0"/>
            <c:showPercent val="0"/>
            <c:showBubbleSize val="0"/>
            <c:showLeaderLines val="0"/>
          </c:dLbls>
          <c:cat>
            <c:strRef>
              <c:f>Sheet1!$A$2</c:f>
              <c:strCache>
                <c:ptCount val="1"/>
                <c:pt idx="0">
                  <c:v>Давател на УПУ</c:v>
                </c:pt>
              </c:strCache>
            </c:strRef>
          </c:cat>
          <c:val>
            <c:numRef>
              <c:f>Sheet1!$G$2</c:f>
              <c:numCache>
                <c:formatCode>General</c:formatCode>
                <c:ptCount val="1"/>
                <c:pt idx="0">
                  <c:v>24.1</c:v>
                </c:pt>
              </c:numCache>
            </c:numRef>
          </c:val>
        </c:ser>
        <c:dLbls>
          <c:showLegendKey val="0"/>
          <c:showVal val="0"/>
          <c:showCatName val="0"/>
          <c:showSerName val="0"/>
          <c:showPercent val="0"/>
          <c:showBubbleSize val="0"/>
        </c:dLbls>
        <c:gapWidth val="150"/>
        <c:axId val="134607232"/>
        <c:axId val="134608768"/>
      </c:barChart>
      <c:catAx>
        <c:axId val="134607232"/>
        <c:scaling>
          <c:orientation val="minMax"/>
        </c:scaling>
        <c:delete val="1"/>
        <c:axPos val="l"/>
        <c:majorTickMark val="out"/>
        <c:minorTickMark val="none"/>
        <c:tickLblPos val="nextTo"/>
        <c:crossAx val="134608768"/>
        <c:crosses val="autoZero"/>
        <c:auto val="1"/>
        <c:lblAlgn val="ctr"/>
        <c:lblOffset val="100"/>
        <c:noMultiLvlLbl val="0"/>
      </c:catAx>
      <c:valAx>
        <c:axId val="134608768"/>
        <c:scaling>
          <c:orientation val="minMax"/>
        </c:scaling>
        <c:delete val="0"/>
        <c:axPos val="b"/>
        <c:majorGridlines/>
        <c:numFmt formatCode="General" sourceLinked="1"/>
        <c:majorTickMark val="out"/>
        <c:minorTickMark val="none"/>
        <c:tickLblPos val="nextTo"/>
        <c:crossAx val="134607232"/>
        <c:crosses val="autoZero"/>
        <c:crossBetween val="between"/>
      </c:valAx>
    </c:plotArea>
    <c:legend>
      <c:legendPos val="r"/>
      <c:layout>
        <c:manualLayout>
          <c:xMode val="edge"/>
          <c:yMode val="edge"/>
          <c:x val="0.88990193761324854"/>
          <c:y val="0.25649204418553373"/>
          <c:w val="8.5070385159201081E-2"/>
          <c:h val="0.41833429357915625"/>
        </c:manualLayout>
      </c:layout>
      <c:overlay val="0"/>
      <c:txPr>
        <a:bodyPr/>
        <a:lstStyle/>
        <a:p>
          <a:pPr>
            <a:defRPr sz="1100"/>
          </a:pPr>
          <a:endParaRPr lang="mk-MK"/>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view3D>
      <c:rotX val="40"/>
      <c:rotY val="314"/>
      <c:rAngAx val="0"/>
      <c:perspective val="30"/>
    </c:view3D>
    <c:floor>
      <c:thickness val="0"/>
    </c:floor>
    <c:sideWall>
      <c:thickness val="0"/>
    </c:sideWall>
    <c:backWall>
      <c:thickness val="0"/>
    </c:backWall>
    <c:plotArea>
      <c:layout>
        <c:manualLayout>
          <c:layoutTarget val="inner"/>
          <c:xMode val="edge"/>
          <c:yMode val="edge"/>
          <c:x val="6.2862976811853141E-2"/>
          <c:y val="7.8581958077157535E-4"/>
          <c:w val="0.73876069839096203"/>
          <c:h val="0.99640570956027752"/>
        </c:manualLayout>
      </c:layout>
      <c:pie3DChart>
        <c:varyColors val="1"/>
        <c:ser>
          <c:idx val="0"/>
          <c:order val="0"/>
          <c:tx>
            <c:strRef>
              <c:f>Sheet1!$B$1</c:f>
              <c:strCache>
                <c:ptCount val="1"/>
                <c:pt idx="0">
                  <c:v>Македонска пошта</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explosion val="25"/>
          <c:dPt>
            <c:idx val="0"/>
            <c:bubble3D val="0"/>
          </c:dPt>
          <c:dPt>
            <c:idx val="1"/>
            <c:bubble3D val="0"/>
            <c:spPr>
              <a:solidFill>
                <a:srgbClr val="C969D9"/>
              </a:solidFill>
            </c:spPr>
          </c:dPt>
          <c:dPt>
            <c:idx val="2"/>
            <c:bubble3D val="0"/>
            <c:spPr>
              <a:solidFill>
                <a:srgbClr val="6C082E"/>
              </a:solidFill>
            </c:spPr>
          </c:dPt>
          <c:dPt>
            <c:idx val="3"/>
            <c:bubble3D val="0"/>
            <c:spPr>
              <a:solidFill>
                <a:srgbClr val="E7779F"/>
              </a:solidFill>
            </c:spPr>
          </c:dPt>
          <c:dLbls>
            <c:dLbl>
              <c:idx val="0"/>
              <c:layout>
                <c:manualLayout>
                  <c:x val="-0.11773312616859348"/>
                  <c:y val="-8.2026965807356272E-2"/>
                </c:manualLayout>
              </c:layout>
              <c:dLblPos val="bestFit"/>
              <c:showLegendKey val="0"/>
              <c:showVal val="1"/>
              <c:showCatName val="0"/>
              <c:showSerName val="0"/>
              <c:showPercent val="0"/>
              <c:showBubbleSize val="0"/>
            </c:dLbl>
            <c:dLbl>
              <c:idx val="1"/>
              <c:layout>
                <c:manualLayout>
                  <c:x val="9.1357543517762624E-2"/>
                  <c:y val="2.5663682450652571E-2"/>
                </c:manualLayout>
              </c:layout>
              <c:dLblPos val="bestFit"/>
              <c:showLegendKey val="0"/>
              <c:showVal val="1"/>
              <c:showCatName val="0"/>
              <c:showSerName val="0"/>
              <c:showPercent val="0"/>
              <c:showBubbleSize val="0"/>
            </c:dLbl>
            <c:dLbl>
              <c:idx val="2"/>
              <c:layout>
                <c:manualLayout>
                  <c:x val="7.8719441006329063E-2"/>
                  <c:y val="4.4379247114658613E-3"/>
                </c:manualLayout>
              </c:layout>
              <c:dLblPos val="bestFit"/>
              <c:showLegendKey val="0"/>
              <c:showVal val="1"/>
              <c:showCatName val="0"/>
              <c:showSerName val="0"/>
              <c:showPercent val="0"/>
              <c:showBubbleSize val="0"/>
            </c:dLbl>
            <c:dLbl>
              <c:idx val="3"/>
              <c:layout>
                <c:manualLayout>
                  <c:x val="1.3014861436634802E-2"/>
                  <c:y val="8.4405421924999099E-2"/>
                </c:manualLayout>
              </c:layout>
              <c:dLblPos val="bestFit"/>
              <c:showLegendKey val="0"/>
              <c:showVal val="1"/>
              <c:showCatName val="0"/>
              <c:showSerName val="0"/>
              <c:showPercent val="0"/>
              <c:showBubbleSize val="0"/>
            </c:dLbl>
            <c:numFmt formatCode="#,##0" sourceLinked="0"/>
            <c:txPr>
              <a:bodyPr/>
              <a:lstStyle/>
              <a:p>
                <a:pPr>
                  <a:defRPr sz="1400" b="1">
                    <a:solidFill>
                      <a:schemeClr val="bg1"/>
                    </a:solidFill>
                  </a:defRPr>
                </a:pPr>
                <a:endParaRPr lang="mk-MK"/>
              </a:p>
            </c:txPr>
            <c:dLblPos val="bestFit"/>
            <c:showLegendKey val="0"/>
            <c:showVal val="1"/>
            <c:showCatName val="0"/>
            <c:showSerName val="0"/>
            <c:showPercent val="0"/>
            <c:showBubbleSize val="0"/>
            <c:showLeaderLines val="1"/>
          </c:dLbls>
          <c:cat>
            <c:strRef>
              <c:f>Sheet1!$A$2:$A$5</c:f>
              <c:strCache>
                <c:ptCount val="4"/>
                <c:pt idx="0">
                  <c:v>Teхнолошки возила</c:v>
                </c:pt>
                <c:pt idx="1">
                  <c:v>Дистрибутивни центри</c:v>
                </c:pt>
                <c:pt idx="2">
                  <c:v>Сортинг центри</c:v>
                </c:pt>
                <c:pt idx="3">
                  <c:v>Меѓународни изменични пошти</c:v>
                </c:pt>
              </c:strCache>
            </c:strRef>
          </c:cat>
          <c:val>
            <c:numRef>
              <c:f>Sheet1!$B$2:$B$5</c:f>
              <c:numCache>
                <c:formatCode>General</c:formatCode>
                <c:ptCount val="4"/>
                <c:pt idx="0">
                  <c:v>102</c:v>
                </c:pt>
                <c:pt idx="1">
                  <c:v>17</c:v>
                </c:pt>
                <c:pt idx="2">
                  <c:v>4</c:v>
                </c:pt>
                <c:pt idx="3">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
          <c:y val="0.83738740876568507"/>
          <c:w val="0.98816861103064457"/>
          <c:h val="0.14155337432136048"/>
        </c:manualLayout>
      </c:layout>
      <c:overlay val="0"/>
      <c:txPr>
        <a:bodyPr/>
        <a:lstStyle/>
        <a:p>
          <a:pPr>
            <a:defRPr sz="1200"/>
          </a:pPr>
          <a:endParaRPr lang="mk-MK"/>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5.999033974919802E-2"/>
          <c:y val="0.14022413410857704"/>
          <c:w val="0.91923538203557886"/>
          <c:h val="0.55431526100109418"/>
        </c:manualLayout>
      </c:layout>
      <c:barChart>
        <c:barDir val="col"/>
        <c:grouping val="clustered"/>
        <c:varyColors val="0"/>
        <c:ser>
          <c:idx val="0"/>
          <c:order val="0"/>
          <c:tx>
            <c:strRef>
              <c:f>Sheet1!$B$1</c:f>
              <c:strCache>
                <c:ptCount val="1"/>
                <c:pt idx="0">
                  <c:v>точки за пристап на поштенски пратки</c:v>
                </c:pt>
              </c:strCache>
            </c:strRef>
          </c:tx>
          <c:spPr>
            <a:solidFill>
              <a:srgbClr val="7030A0"/>
            </a:solidFill>
          </c:spPr>
          <c:invertIfNegative val="0"/>
          <c:cat>
            <c:strRef>
              <c:f>Sheet1!$A$2:$A$22</c:f>
              <c:strCache>
                <c:ptCount val="21"/>
                <c:pt idx="0">
                  <c:v>Глобко логистик</c:v>
                </c:pt>
                <c:pt idx="1">
                  <c:v>ДРД курир</c:v>
                </c:pt>
                <c:pt idx="2">
                  <c:v>Спиди деливери</c:v>
                </c:pt>
                <c:pt idx="3">
                  <c:v>ИН тиме </c:v>
                </c:pt>
                <c:pt idx="4">
                  <c:v>РСЕ оптима</c:v>
                </c:pt>
                <c:pt idx="5">
                  <c:v>ТНТ Експрес</c:v>
                </c:pt>
                <c:pt idx="6">
                  <c:v>Визард деливери</c:v>
                </c:pt>
                <c:pt idx="7">
                  <c:v>Глобал мессаге</c:v>
                </c:pt>
                <c:pt idx="8">
                  <c:v>Јокам пошта</c:v>
                </c:pt>
                <c:pt idx="9">
                  <c:v>Делцо</c:v>
                </c:pt>
                <c:pt idx="10">
                  <c:v>ДМ компани</c:v>
                </c:pt>
                <c:pt idx="11">
                  <c:v>Мерџаноски</c:v>
                </c:pt>
                <c:pt idx="12">
                  <c:v>Скопје велосипедист</c:v>
                </c:pt>
                <c:pt idx="13">
                  <c:v>Карго експрес</c:v>
                </c:pt>
                <c:pt idx="14">
                  <c:v>ДХЛ</c:v>
                </c:pt>
                <c:pt idx="15">
                  <c:v>Диливеримен</c:v>
                </c:pt>
                <c:pt idx="16">
                  <c:v>Деливери Филип</c:v>
                </c:pt>
                <c:pt idx="17">
                  <c:v>Прологис </c:v>
                </c:pt>
                <c:pt idx="18">
                  <c:v>Казабланка</c:v>
                </c:pt>
                <c:pt idx="19">
                  <c:v>Ин пошта</c:v>
                </c:pt>
                <c:pt idx="20">
                  <c:v>Екстра </c:v>
                </c:pt>
              </c:strCache>
            </c:strRef>
          </c:cat>
          <c:val>
            <c:numRef>
              <c:f>Sheet1!$B$2:$B$22</c:f>
              <c:numCache>
                <c:formatCode>General</c:formatCode>
                <c:ptCount val="21"/>
                <c:pt idx="0">
                  <c:v>18</c:v>
                </c:pt>
                <c:pt idx="1">
                  <c:v>1</c:v>
                </c:pt>
                <c:pt idx="2">
                  <c:v>1</c:v>
                </c:pt>
                <c:pt idx="3">
                  <c:v>1</c:v>
                </c:pt>
                <c:pt idx="4">
                  <c:v>3</c:v>
                </c:pt>
                <c:pt idx="5">
                  <c:v>1</c:v>
                </c:pt>
                <c:pt idx="6">
                  <c:v>1</c:v>
                </c:pt>
                <c:pt idx="7">
                  <c:v>1</c:v>
                </c:pt>
                <c:pt idx="8">
                  <c:v>1</c:v>
                </c:pt>
                <c:pt idx="9">
                  <c:v>16</c:v>
                </c:pt>
                <c:pt idx="10">
                  <c:v>1</c:v>
                </c:pt>
                <c:pt idx="11">
                  <c:v>1</c:v>
                </c:pt>
                <c:pt idx="12">
                  <c:v>1</c:v>
                </c:pt>
                <c:pt idx="13">
                  <c:v>24</c:v>
                </c:pt>
                <c:pt idx="14">
                  <c:v>15</c:v>
                </c:pt>
                <c:pt idx="15">
                  <c:v>1</c:v>
                </c:pt>
                <c:pt idx="16">
                  <c:v>1</c:v>
                </c:pt>
                <c:pt idx="17">
                  <c:v>1</c:v>
                </c:pt>
                <c:pt idx="18">
                  <c:v>1</c:v>
                </c:pt>
                <c:pt idx="19">
                  <c:v>1</c:v>
                </c:pt>
                <c:pt idx="20">
                  <c:v>1</c:v>
                </c:pt>
              </c:numCache>
            </c:numRef>
          </c:val>
        </c:ser>
        <c:ser>
          <c:idx val="1"/>
          <c:order val="1"/>
          <c:tx>
            <c:strRef>
              <c:f>Sheet1!$C$1</c:f>
              <c:strCache>
                <c:ptCount val="1"/>
                <c:pt idx="0">
                  <c:v>возила за обезбедување на  поштенски услуги</c:v>
                </c:pt>
              </c:strCache>
            </c:strRef>
          </c:tx>
          <c:spPr>
            <a:gradFill>
              <a:gsLst>
                <a:gs pos="0">
                  <a:srgbClr val="000082"/>
                </a:gs>
                <a:gs pos="0">
                  <a:srgbClr val="66008F"/>
                </a:gs>
                <a:gs pos="64999">
                  <a:srgbClr val="BA0066"/>
                </a:gs>
                <a:gs pos="89999">
                  <a:srgbClr val="FF0000"/>
                </a:gs>
                <a:gs pos="100000">
                  <a:srgbClr val="FF8200"/>
                </a:gs>
              </a:gsLst>
              <a:lin ang="5400000" scaled="0"/>
            </a:gradFill>
          </c:spPr>
          <c:invertIfNegative val="0"/>
          <c:cat>
            <c:strRef>
              <c:f>Sheet1!$A$2:$A$22</c:f>
              <c:strCache>
                <c:ptCount val="21"/>
                <c:pt idx="0">
                  <c:v>Глобко логистик</c:v>
                </c:pt>
                <c:pt idx="1">
                  <c:v>ДРД курир</c:v>
                </c:pt>
                <c:pt idx="2">
                  <c:v>Спиди деливери</c:v>
                </c:pt>
                <c:pt idx="3">
                  <c:v>ИН тиме </c:v>
                </c:pt>
                <c:pt idx="4">
                  <c:v>РСЕ оптима</c:v>
                </c:pt>
                <c:pt idx="5">
                  <c:v>ТНТ Експрес</c:v>
                </c:pt>
                <c:pt idx="6">
                  <c:v>Визард деливери</c:v>
                </c:pt>
                <c:pt idx="7">
                  <c:v>Глобал мессаге</c:v>
                </c:pt>
                <c:pt idx="8">
                  <c:v>Јокам пошта</c:v>
                </c:pt>
                <c:pt idx="9">
                  <c:v>Делцо</c:v>
                </c:pt>
                <c:pt idx="10">
                  <c:v>ДМ компани</c:v>
                </c:pt>
                <c:pt idx="11">
                  <c:v>Мерџаноски</c:v>
                </c:pt>
                <c:pt idx="12">
                  <c:v>Скопје велосипедист</c:v>
                </c:pt>
                <c:pt idx="13">
                  <c:v>Карго експрес</c:v>
                </c:pt>
                <c:pt idx="14">
                  <c:v>ДХЛ</c:v>
                </c:pt>
                <c:pt idx="15">
                  <c:v>Диливеримен</c:v>
                </c:pt>
                <c:pt idx="16">
                  <c:v>Деливери Филип</c:v>
                </c:pt>
                <c:pt idx="17">
                  <c:v>Прологис </c:v>
                </c:pt>
                <c:pt idx="18">
                  <c:v>Казабланка</c:v>
                </c:pt>
                <c:pt idx="19">
                  <c:v>Ин пошта</c:v>
                </c:pt>
                <c:pt idx="20">
                  <c:v>Екстра </c:v>
                </c:pt>
              </c:strCache>
            </c:strRef>
          </c:cat>
          <c:val>
            <c:numRef>
              <c:f>Sheet1!$C$2:$C$22</c:f>
              <c:numCache>
                <c:formatCode>General</c:formatCode>
                <c:ptCount val="21"/>
                <c:pt idx="0">
                  <c:v>62</c:v>
                </c:pt>
                <c:pt idx="1">
                  <c:v>9</c:v>
                </c:pt>
                <c:pt idx="2">
                  <c:v>5</c:v>
                </c:pt>
                <c:pt idx="3">
                  <c:v>1</c:v>
                </c:pt>
                <c:pt idx="4">
                  <c:v>7</c:v>
                </c:pt>
                <c:pt idx="5">
                  <c:v>13</c:v>
                </c:pt>
                <c:pt idx="6">
                  <c:v>2</c:v>
                </c:pt>
                <c:pt idx="7">
                  <c:v>1</c:v>
                </c:pt>
                <c:pt idx="8">
                  <c:v>1</c:v>
                </c:pt>
                <c:pt idx="9">
                  <c:v>61</c:v>
                </c:pt>
                <c:pt idx="10">
                  <c:v>1</c:v>
                </c:pt>
                <c:pt idx="11">
                  <c:v>2</c:v>
                </c:pt>
                <c:pt idx="12">
                  <c:v>8</c:v>
                </c:pt>
                <c:pt idx="13">
                  <c:v>33</c:v>
                </c:pt>
                <c:pt idx="14">
                  <c:v>15</c:v>
                </c:pt>
                <c:pt idx="15">
                  <c:v>4</c:v>
                </c:pt>
                <c:pt idx="16">
                  <c:v>1</c:v>
                </c:pt>
                <c:pt idx="17">
                  <c:v>2</c:v>
                </c:pt>
                <c:pt idx="18">
                  <c:v>2</c:v>
                </c:pt>
                <c:pt idx="19">
                  <c:v>7</c:v>
                </c:pt>
                <c:pt idx="20">
                  <c:v>10</c:v>
                </c:pt>
              </c:numCache>
            </c:numRef>
          </c:val>
        </c:ser>
        <c:dLbls>
          <c:showLegendKey val="0"/>
          <c:showVal val="0"/>
          <c:showCatName val="0"/>
          <c:showSerName val="0"/>
          <c:showPercent val="0"/>
          <c:showBubbleSize val="0"/>
        </c:dLbls>
        <c:gapWidth val="150"/>
        <c:axId val="169602048"/>
        <c:axId val="169779968"/>
      </c:barChart>
      <c:catAx>
        <c:axId val="169602048"/>
        <c:scaling>
          <c:orientation val="minMax"/>
        </c:scaling>
        <c:delete val="0"/>
        <c:axPos val="b"/>
        <c:majorTickMark val="out"/>
        <c:minorTickMark val="none"/>
        <c:tickLblPos val="nextTo"/>
        <c:crossAx val="169779968"/>
        <c:crosses val="autoZero"/>
        <c:auto val="1"/>
        <c:lblAlgn val="ctr"/>
        <c:lblOffset val="100"/>
        <c:noMultiLvlLbl val="0"/>
      </c:catAx>
      <c:valAx>
        <c:axId val="169779968"/>
        <c:scaling>
          <c:orientation val="minMax"/>
          <c:max val="60"/>
        </c:scaling>
        <c:delete val="0"/>
        <c:axPos val="l"/>
        <c:majorGridlines/>
        <c:numFmt formatCode="General" sourceLinked="1"/>
        <c:majorTickMark val="out"/>
        <c:minorTickMark val="none"/>
        <c:tickLblPos val="nextTo"/>
        <c:crossAx val="169602048"/>
        <c:crosses val="autoZero"/>
        <c:crossBetween val="between"/>
      </c:valAx>
    </c:plotArea>
    <c:legend>
      <c:legendPos val="r"/>
      <c:layout>
        <c:manualLayout>
          <c:xMode val="edge"/>
          <c:yMode val="edge"/>
          <c:x val="0"/>
          <c:y val="0"/>
          <c:w val="0.99827137491119933"/>
          <c:h val="0.16537607186022729"/>
        </c:manualLayout>
      </c:layout>
      <c:overlay val="0"/>
      <c:txPr>
        <a:bodyPr/>
        <a:lstStyle/>
        <a:p>
          <a:pPr>
            <a:defRPr sz="1200"/>
          </a:pPr>
          <a:endParaRPr lang="mk-MK"/>
        </a:p>
      </c:txPr>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9203438405411583"/>
          <c:y val="2.5650207711676601E-2"/>
          <c:w val="0.78359745259371805"/>
          <c:h val="0.86773439334362923"/>
        </c:manualLayout>
      </c:layout>
      <c:lineChart>
        <c:grouping val="standard"/>
        <c:varyColors val="0"/>
        <c:ser>
          <c:idx val="0"/>
          <c:order val="0"/>
          <c:tx>
            <c:strRef>
              <c:f>Sheet1!$D$14</c:f>
              <c:strCache>
                <c:ptCount val="1"/>
                <c:pt idx="0">
                  <c:v>Column1</c:v>
                </c:pt>
              </c:strCache>
            </c:strRef>
          </c:tx>
          <c:spPr>
            <a:ln>
              <a:gradFill>
                <a:gsLst>
                  <a:gs pos="0">
                    <a:srgbClr val="000082"/>
                  </a:gs>
                  <a:gs pos="0">
                    <a:srgbClr val="66008F"/>
                  </a:gs>
                  <a:gs pos="64999">
                    <a:srgbClr val="BA0066"/>
                  </a:gs>
                  <a:gs pos="89999">
                    <a:srgbClr val="FF0000"/>
                  </a:gs>
                  <a:gs pos="100000">
                    <a:srgbClr val="FF8200"/>
                  </a:gs>
                </a:gsLst>
                <a:lin ang="5400000" scaled="0"/>
              </a:gradFill>
            </a:ln>
          </c:spPr>
          <c:marker>
            <c:spPr>
              <a:solidFill>
                <a:srgbClr val="B30D70"/>
              </a:solidFill>
            </c:spPr>
          </c:marker>
          <c:dLbls>
            <c:dLbl>
              <c:idx val="0"/>
              <c:layout>
                <c:manualLayout>
                  <c:x val="-3.3222591362126248E-2"/>
                  <c:y val="4.6948356807511693E-2"/>
                </c:manualLayout>
              </c:layout>
              <c:showLegendKey val="0"/>
              <c:showVal val="1"/>
              <c:showCatName val="0"/>
              <c:showSerName val="0"/>
              <c:showPercent val="0"/>
              <c:showBubbleSize val="0"/>
            </c:dLbl>
            <c:dLbl>
              <c:idx val="1"/>
              <c:layout>
                <c:manualLayout>
                  <c:x val="-1.3289036544850499E-2"/>
                  <c:y val="5.8885383806519455E-2"/>
                </c:manualLayout>
              </c:layout>
              <c:showLegendKey val="0"/>
              <c:showVal val="1"/>
              <c:showCatName val="0"/>
              <c:showSerName val="0"/>
              <c:showPercent val="0"/>
              <c:showBubbleSize val="0"/>
            </c:dLbl>
            <c:dLbl>
              <c:idx val="2"/>
              <c:layout>
                <c:manualLayout>
                  <c:x val="0"/>
                  <c:y val="-4.6379799020870895E-2"/>
                </c:manualLayout>
              </c:layout>
              <c:showLegendKey val="0"/>
              <c:showVal val="1"/>
              <c:showCatName val="0"/>
              <c:showSerName val="0"/>
              <c:showPercent val="0"/>
              <c:showBubbleSize val="0"/>
            </c:dLbl>
            <c:dLbl>
              <c:idx val="3"/>
              <c:layout>
                <c:manualLayout>
                  <c:x val="2.2152875774696531E-3"/>
                  <c:y val="4.1218643809251804E-2"/>
                </c:manualLayout>
              </c:layout>
              <c:showLegendKey val="0"/>
              <c:showVal val="1"/>
              <c:showCatName val="0"/>
              <c:showSerName val="0"/>
              <c:showPercent val="0"/>
              <c:showBubbleSize val="0"/>
            </c:dLbl>
            <c:dLbl>
              <c:idx val="4"/>
              <c:layout>
                <c:manualLayout>
                  <c:x val="0"/>
                  <c:y val="-5.1523304761564748E-2"/>
                </c:manualLayout>
              </c:layout>
              <c:showLegendKey val="0"/>
              <c:showVal val="1"/>
              <c:showCatName val="0"/>
              <c:showSerName val="0"/>
              <c:showPercent val="0"/>
              <c:showBubbleSize val="0"/>
            </c:dLbl>
            <c:dLbl>
              <c:idx val="5"/>
              <c:layout>
                <c:manualLayout>
                  <c:x val="0"/>
                  <c:y val="3.9371187756460022E-2"/>
                </c:manualLayout>
              </c:layout>
              <c:showLegendKey val="0"/>
              <c:showVal val="1"/>
              <c:showCatName val="0"/>
              <c:showSerName val="0"/>
              <c:showPercent val="0"/>
              <c:showBubbleSize val="0"/>
            </c:dLbl>
            <c:txPr>
              <a:bodyPr/>
              <a:lstStyle/>
              <a:p>
                <a:pPr>
                  <a:defRPr sz="1100"/>
                </a:pPr>
                <a:endParaRPr lang="mk-MK"/>
              </a:p>
            </c:txPr>
            <c:showLegendKey val="0"/>
            <c:showVal val="1"/>
            <c:showCatName val="0"/>
            <c:showSerName val="0"/>
            <c:showPercent val="0"/>
            <c:showBubbleSize val="0"/>
            <c:showLeaderLines val="0"/>
          </c:dLbls>
          <c:cat>
            <c:strRef>
              <c:f>Sheet1!$C$15:$C$20</c:f>
              <c:strCache>
                <c:ptCount val="6"/>
                <c:pt idx="0">
                  <c:v>2009 година</c:v>
                </c:pt>
                <c:pt idx="1">
                  <c:v>2010 година</c:v>
                </c:pt>
                <c:pt idx="2">
                  <c:v>2011 година</c:v>
                </c:pt>
                <c:pt idx="3">
                  <c:v>2012 година</c:v>
                </c:pt>
                <c:pt idx="4">
                  <c:v>2013 година</c:v>
                </c:pt>
                <c:pt idx="5">
                  <c:v>2014 година</c:v>
                </c:pt>
              </c:strCache>
            </c:strRef>
          </c:cat>
          <c:val>
            <c:numRef>
              <c:f>Sheet1!$D$15:$D$20</c:f>
              <c:numCache>
                <c:formatCode>#,##0</c:formatCode>
                <c:ptCount val="6"/>
                <c:pt idx="0">
                  <c:v>1539912984</c:v>
                </c:pt>
                <c:pt idx="1">
                  <c:v>1952608491</c:v>
                </c:pt>
                <c:pt idx="2">
                  <c:v>2060092475</c:v>
                </c:pt>
                <c:pt idx="3">
                  <c:v>1983761304</c:v>
                </c:pt>
                <c:pt idx="4">
                  <c:v>2249734344</c:v>
                </c:pt>
                <c:pt idx="5">
                  <c:v>2208220010</c:v>
                </c:pt>
              </c:numCache>
            </c:numRef>
          </c:val>
          <c:smooth val="0"/>
        </c:ser>
        <c:dLbls>
          <c:showLegendKey val="0"/>
          <c:showVal val="0"/>
          <c:showCatName val="0"/>
          <c:showSerName val="0"/>
          <c:showPercent val="0"/>
          <c:showBubbleSize val="0"/>
        </c:dLbls>
        <c:marker val="1"/>
        <c:smooth val="0"/>
        <c:axId val="178819072"/>
        <c:axId val="178820608"/>
      </c:lineChart>
      <c:catAx>
        <c:axId val="178819072"/>
        <c:scaling>
          <c:orientation val="minMax"/>
        </c:scaling>
        <c:delete val="0"/>
        <c:axPos val="b"/>
        <c:majorGridlines/>
        <c:numFmt formatCode="General" sourceLinked="1"/>
        <c:majorTickMark val="out"/>
        <c:minorTickMark val="none"/>
        <c:tickLblPos val="nextTo"/>
        <c:crossAx val="178820608"/>
        <c:crosses val="autoZero"/>
        <c:auto val="1"/>
        <c:lblAlgn val="ctr"/>
        <c:lblOffset val="100"/>
        <c:noMultiLvlLbl val="0"/>
      </c:catAx>
      <c:valAx>
        <c:axId val="178820608"/>
        <c:scaling>
          <c:orientation val="minMax"/>
        </c:scaling>
        <c:delete val="0"/>
        <c:axPos val="l"/>
        <c:majorGridlines/>
        <c:numFmt formatCode="#,##0.00" sourceLinked="0"/>
        <c:majorTickMark val="out"/>
        <c:minorTickMark val="none"/>
        <c:tickLblPos val="nextTo"/>
        <c:crossAx val="178819072"/>
        <c:crosses val="autoZero"/>
        <c:crossBetween val="between"/>
      </c:valAx>
    </c:plotArea>
    <c:plotVisOnly val="1"/>
    <c:dispBlanksAs val="zero"/>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19203438405411583"/>
          <c:y val="8.4465602026542158E-2"/>
          <c:w val="0.78359745259371805"/>
          <c:h val="0.80957117865516703"/>
        </c:manualLayout>
      </c:layout>
      <c:lineChart>
        <c:grouping val="standard"/>
        <c:varyColors val="0"/>
        <c:ser>
          <c:idx val="0"/>
          <c:order val="0"/>
          <c:tx>
            <c:strRef>
              <c:f>Sheet1!$D$14</c:f>
              <c:strCache>
                <c:ptCount val="1"/>
                <c:pt idx="0">
                  <c:v>Македонска пошта</c:v>
                </c:pt>
              </c:strCache>
            </c:strRef>
          </c:tx>
          <c:spPr>
            <a:ln>
              <a:gradFill>
                <a:gsLst>
                  <a:gs pos="0">
                    <a:srgbClr val="000082"/>
                  </a:gs>
                  <a:gs pos="0">
                    <a:srgbClr val="66008F"/>
                  </a:gs>
                  <a:gs pos="64999">
                    <a:srgbClr val="BA0066"/>
                  </a:gs>
                  <a:gs pos="89999">
                    <a:srgbClr val="FF0000"/>
                  </a:gs>
                  <a:gs pos="100000">
                    <a:srgbClr val="FF8200"/>
                  </a:gs>
                </a:gsLst>
                <a:lin ang="5400000" scaled="0"/>
              </a:gradFill>
            </a:ln>
          </c:spPr>
          <c:marker>
            <c:spPr>
              <a:solidFill>
                <a:srgbClr val="B30D70"/>
              </a:solidFill>
            </c:spPr>
          </c:marker>
          <c:dLbls>
            <c:dLbl>
              <c:idx val="1"/>
              <c:layout>
                <c:manualLayout>
                  <c:x val="-1.3289036544850499E-2"/>
                  <c:y val="5.8885383806519455E-2"/>
                </c:manualLayout>
              </c:layout>
              <c:showLegendKey val="0"/>
              <c:showVal val="1"/>
              <c:showCatName val="0"/>
              <c:showSerName val="0"/>
              <c:showPercent val="0"/>
              <c:showBubbleSize val="0"/>
            </c:dLbl>
            <c:dLbl>
              <c:idx val="3"/>
              <c:layout>
                <c:manualLayout>
                  <c:x val="-0.11379495437466453"/>
                  <c:y val="-6.1728395061728392E-2"/>
                </c:manualLayout>
              </c:layout>
              <c:showLegendKey val="0"/>
              <c:showVal val="1"/>
              <c:showCatName val="0"/>
              <c:showSerName val="0"/>
              <c:showPercent val="0"/>
              <c:showBubbleSize val="0"/>
            </c:dLbl>
            <c:dLbl>
              <c:idx val="4"/>
              <c:layout>
                <c:manualLayout>
                  <c:x val="-1.0735373054213635E-2"/>
                  <c:y val="2.4691358024691357E-2"/>
                </c:manualLayout>
              </c:layout>
              <c:showLegendKey val="0"/>
              <c:showVal val="1"/>
              <c:showCatName val="0"/>
              <c:showSerName val="0"/>
              <c:showPercent val="0"/>
              <c:showBubbleSize val="0"/>
            </c:dLbl>
            <c:dLbl>
              <c:idx val="5"/>
              <c:layout>
                <c:manualLayout>
                  <c:x val="-8.5882984433709071E-3"/>
                  <c:y val="4.9382716049382644E-2"/>
                </c:manualLayout>
              </c:layout>
              <c:showLegendKey val="0"/>
              <c:showVal val="1"/>
              <c:showCatName val="0"/>
              <c:showSerName val="0"/>
              <c:showPercent val="0"/>
              <c:showBubbleSize val="0"/>
            </c:dLbl>
            <c:txPr>
              <a:bodyPr/>
              <a:lstStyle/>
              <a:p>
                <a:pPr>
                  <a:defRPr sz="1100"/>
                </a:pPr>
                <a:endParaRPr lang="mk-MK"/>
              </a:p>
            </c:txPr>
            <c:showLegendKey val="0"/>
            <c:showVal val="1"/>
            <c:showCatName val="0"/>
            <c:showSerName val="0"/>
            <c:showPercent val="0"/>
            <c:showBubbleSize val="0"/>
            <c:showLeaderLines val="0"/>
          </c:dLbls>
          <c:cat>
            <c:strRef>
              <c:f>Sheet1!$C$15:$C$20</c:f>
              <c:strCache>
                <c:ptCount val="6"/>
                <c:pt idx="0">
                  <c:v>2009 година</c:v>
                </c:pt>
                <c:pt idx="1">
                  <c:v>2010 година</c:v>
                </c:pt>
                <c:pt idx="2">
                  <c:v>2011 година</c:v>
                </c:pt>
                <c:pt idx="3">
                  <c:v>2012 година</c:v>
                </c:pt>
                <c:pt idx="4">
                  <c:v>2013 година</c:v>
                </c:pt>
                <c:pt idx="5">
                  <c:v>2014 година</c:v>
                </c:pt>
              </c:strCache>
            </c:strRef>
          </c:cat>
          <c:val>
            <c:numRef>
              <c:f>Sheet1!$D$15:$D$20</c:f>
              <c:numCache>
                <c:formatCode>#,##0</c:formatCode>
                <c:ptCount val="6"/>
                <c:pt idx="0">
                  <c:v>1366295512</c:v>
                </c:pt>
                <c:pt idx="1">
                  <c:v>1456642652</c:v>
                </c:pt>
                <c:pt idx="2">
                  <c:v>1469648176</c:v>
                </c:pt>
                <c:pt idx="3">
                  <c:v>1499371454</c:v>
                </c:pt>
                <c:pt idx="4">
                  <c:v>1522186828</c:v>
                </c:pt>
                <c:pt idx="5">
                  <c:v>1374557744</c:v>
                </c:pt>
              </c:numCache>
            </c:numRef>
          </c:val>
          <c:smooth val="0"/>
        </c:ser>
        <c:dLbls>
          <c:showLegendKey val="0"/>
          <c:showVal val="0"/>
          <c:showCatName val="0"/>
          <c:showSerName val="0"/>
          <c:showPercent val="0"/>
          <c:showBubbleSize val="0"/>
        </c:dLbls>
        <c:marker val="1"/>
        <c:smooth val="0"/>
        <c:axId val="178844800"/>
        <c:axId val="178846336"/>
      </c:lineChart>
      <c:catAx>
        <c:axId val="178844800"/>
        <c:scaling>
          <c:orientation val="minMax"/>
        </c:scaling>
        <c:delete val="0"/>
        <c:axPos val="b"/>
        <c:majorGridlines/>
        <c:numFmt formatCode="General" sourceLinked="1"/>
        <c:majorTickMark val="out"/>
        <c:minorTickMark val="none"/>
        <c:tickLblPos val="nextTo"/>
        <c:crossAx val="178846336"/>
        <c:crosses val="autoZero"/>
        <c:auto val="1"/>
        <c:lblAlgn val="ctr"/>
        <c:lblOffset val="100"/>
        <c:noMultiLvlLbl val="0"/>
      </c:catAx>
      <c:valAx>
        <c:axId val="178846336"/>
        <c:scaling>
          <c:orientation val="minMax"/>
        </c:scaling>
        <c:delete val="0"/>
        <c:axPos val="l"/>
        <c:majorGridlines/>
        <c:numFmt formatCode="#,##0.00" sourceLinked="0"/>
        <c:majorTickMark val="out"/>
        <c:minorTickMark val="none"/>
        <c:tickLblPos val="nextTo"/>
        <c:crossAx val="178844800"/>
        <c:crosses val="autoZero"/>
        <c:crossBetween val="between"/>
      </c:valAx>
    </c:plotArea>
    <c:plotVisOnly val="1"/>
    <c:dispBlanksAs val="zero"/>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0.19646495920905513"/>
          <c:y val="8.0199214913339534E-2"/>
          <c:w val="0.78359745259371805"/>
          <c:h val="0.80957117865516703"/>
        </c:manualLayout>
      </c:layout>
      <c:lineChart>
        <c:grouping val="standard"/>
        <c:varyColors val="0"/>
        <c:ser>
          <c:idx val="0"/>
          <c:order val="0"/>
          <c:tx>
            <c:strRef>
              <c:f>Sheet1!$D$14</c:f>
              <c:strCache>
                <c:ptCount val="1"/>
                <c:pt idx="0">
                  <c:v>Column1</c:v>
                </c:pt>
              </c:strCache>
            </c:strRef>
          </c:tx>
          <c:spPr>
            <a:ln>
              <a:gradFill>
                <a:gsLst>
                  <a:gs pos="0">
                    <a:srgbClr val="000082"/>
                  </a:gs>
                  <a:gs pos="30000">
                    <a:srgbClr val="66008F"/>
                  </a:gs>
                  <a:gs pos="64999">
                    <a:srgbClr val="BA0066"/>
                  </a:gs>
                  <a:gs pos="89999">
                    <a:srgbClr val="FF0000"/>
                  </a:gs>
                  <a:gs pos="100000">
                    <a:srgbClr val="FF8200"/>
                  </a:gs>
                </a:gsLst>
                <a:lin ang="5400000" scaled="0"/>
              </a:gradFill>
            </a:ln>
          </c:spPr>
          <c:marker>
            <c:spPr>
              <a:gradFill>
                <a:gsLst>
                  <a:gs pos="0">
                    <a:srgbClr val="000082"/>
                  </a:gs>
                  <a:gs pos="0">
                    <a:srgbClr val="66008F"/>
                  </a:gs>
                  <a:gs pos="64999">
                    <a:srgbClr val="BA0066"/>
                  </a:gs>
                  <a:gs pos="89999">
                    <a:srgbClr val="FF0000"/>
                  </a:gs>
                  <a:gs pos="100000">
                    <a:srgbClr val="FF8200"/>
                  </a:gs>
                </a:gsLst>
                <a:lin ang="5400000" scaled="0"/>
              </a:gradFill>
            </c:spPr>
          </c:marker>
          <c:dPt>
            <c:idx val="1"/>
            <c:marker>
              <c:spPr>
                <a:gradFill>
                  <a:gsLst>
                    <a:gs pos="0">
                      <a:srgbClr val="000082"/>
                    </a:gs>
                    <a:gs pos="30000">
                      <a:srgbClr val="66008F"/>
                    </a:gs>
                    <a:gs pos="64999">
                      <a:srgbClr val="BA0066"/>
                    </a:gs>
                    <a:gs pos="89999">
                      <a:srgbClr val="FF0000"/>
                    </a:gs>
                    <a:gs pos="100000">
                      <a:srgbClr val="FF8200"/>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rker>
            <c:bubble3D val="0"/>
          </c:dPt>
          <c:dLbls>
            <c:dLbl>
              <c:idx val="0"/>
              <c:layout>
                <c:manualLayout>
                  <c:x val="-2.215330084182543E-3"/>
                  <c:y val="2.5680534155110474E-2"/>
                </c:manualLayout>
              </c:layout>
              <c:showLegendKey val="0"/>
              <c:showVal val="1"/>
              <c:showCatName val="0"/>
              <c:showSerName val="0"/>
              <c:showPercent val="0"/>
              <c:showBubbleSize val="0"/>
            </c:dLbl>
            <c:dLbl>
              <c:idx val="1"/>
              <c:layout>
                <c:manualLayout>
                  <c:x val="-2.2150259293305819E-2"/>
                  <c:y val="-6.7211407858888447E-2"/>
                </c:manualLayout>
              </c:layout>
              <c:showLegendKey val="0"/>
              <c:showVal val="1"/>
              <c:showCatName val="0"/>
              <c:showSerName val="0"/>
              <c:showPercent val="0"/>
              <c:showBubbleSize val="0"/>
            </c:dLbl>
            <c:dLbl>
              <c:idx val="3"/>
              <c:layout>
                <c:manualLayout>
                  <c:x val="0"/>
                  <c:y val="4.6235374794472692E-2"/>
                </c:manualLayout>
              </c:layout>
              <c:showLegendKey val="0"/>
              <c:showVal val="1"/>
              <c:showCatName val="0"/>
              <c:showSerName val="0"/>
              <c:showPercent val="0"/>
              <c:showBubbleSize val="0"/>
            </c:dLbl>
            <c:dLbl>
              <c:idx val="4"/>
              <c:layout>
                <c:manualLayout>
                  <c:x val="-2.5764895330112721E-2"/>
                  <c:y val="-3.4883720930232558E-2"/>
                </c:manualLayout>
              </c:layout>
              <c:showLegendKey val="0"/>
              <c:showVal val="1"/>
              <c:showCatName val="0"/>
              <c:showSerName val="0"/>
              <c:showPercent val="0"/>
              <c:showBubbleSize val="0"/>
            </c:dLbl>
            <c:txPr>
              <a:bodyPr/>
              <a:lstStyle/>
              <a:p>
                <a:pPr>
                  <a:defRPr sz="1100"/>
                </a:pPr>
                <a:endParaRPr lang="mk-MK"/>
              </a:p>
            </c:txPr>
            <c:showLegendKey val="0"/>
            <c:showVal val="1"/>
            <c:showCatName val="0"/>
            <c:showSerName val="0"/>
            <c:showPercent val="0"/>
            <c:showBubbleSize val="0"/>
            <c:showLeaderLines val="0"/>
          </c:dLbls>
          <c:cat>
            <c:strRef>
              <c:f>Sheet1!$C$15:$C$19</c:f>
              <c:strCache>
                <c:ptCount val="5"/>
                <c:pt idx="0">
                  <c:v>2010 година</c:v>
                </c:pt>
                <c:pt idx="1">
                  <c:v>2011 година</c:v>
                </c:pt>
                <c:pt idx="2">
                  <c:v>2012 година</c:v>
                </c:pt>
                <c:pt idx="3">
                  <c:v>2013 година</c:v>
                </c:pt>
                <c:pt idx="4">
                  <c:v>2014 година</c:v>
                </c:pt>
              </c:strCache>
            </c:strRef>
          </c:cat>
          <c:val>
            <c:numRef>
              <c:f>Sheet1!$D$15:$D$19</c:f>
              <c:numCache>
                <c:formatCode>#,##0</c:formatCode>
                <c:ptCount val="5"/>
                <c:pt idx="0">
                  <c:v>495965839</c:v>
                </c:pt>
                <c:pt idx="1">
                  <c:v>590444299</c:v>
                </c:pt>
                <c:pt idx="2">
                  <c:v>484389850</c:v>
                </c:pt>
                <c:pt idx="3">
                  <c:v>727547516</c:v>
                </c:pt>
                <c:pt idx="4">
                  <c:v>833662266</c:v>
                </c:pt>
              </c:numCache>
            </c:numRef>
          </c:val>
          <c:smooth val="0"/>
        </c:ser>
        <c:dLbls>
          <c:showLegendKey val="0"/>
          <c:showVal val="0"/>
          <c:showCatName val="0"/>
          <c:showSerName val="0"/>
          <c:showPercent val="0"/>
          <c:showBubbleSize val="0"/>
        </c:dLbls>
        <c:marker val="1"/>
        <c:smooth val="0"/>
        <c:axId val="190642432"/>
        <c:axId val="191455232"/>
      </c:lineChart>
      <c:catAx>
        <c:axId val="190642432"/>
        <c:scaling>
          <c:orientation val="minMax"/>
        </c:scaling>
        <c:delete val="0"/>
        <c:axPos val="b"/>
        <c:majorGridlines/>
        <c:numFmt formatCode="General" sourceLinked="1"/>
        <c:majorTickMark val="out"/>
        <c:minorTickMark val="none"/>
        <c:tickLblPos val="nextTo"/>
        <c:crossAx val="191455232"/>
        <c:crosses val="autoZero"/>
        <c:auto val="1"/>
        <c:lblAlgn val="ctr"/>
        <c:lblOffset val="100"/>
        <c:noMultiLvlLbl val="0"/>
      </c:catAx>
      <c:valAx>
        <c:axId val="191455232"/>
        <c:scaling>
          <c:orientation val="minMax"/>
        </c:scaling>
        <c:delete val="0"/>
        <c:axPos val="l"/>
        <c:majorGridlines/>
        <c:numFmt formatCode="#,##0.00" sourceLinked="0"/>
        <c:majorTickMark val="out"/>
        <c:minorTickMark val="none"/>
        <c:tickLblPos val="nextTo"/>
        <c:crossAx val="190642432"/>
        <c:crosses val="autoZero"/>
        <c:crossBetween val="between"/>
      </c:valAx>
    </c:plotArea>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6.4297777995141914E-2"/>
          <c:y val="2.4893496353156838E-2"/>
          <c:w val="0.90228607293653507"/>
          <c:h val="0.8940898751292452"/>
        </c:manualLayout>
      </c:layout>
      <c:area3DChart>
        <c:grouping val="stacked"/>
        <c:varyColors val="0"/>
        <c:ser>
          <c:idx val="0"/>
          <c:order val="0"/>
          <c:tx>
            <c:strRef>
              <c:f>Sheet1!$B$1</c:f>
              <c:strCache>
                <c:ptCount val="1"/>
                <c:pt idx="0">
                  <c:v>Y-Values</c:v>
                </c:pt>
              </c:strCache>
            </c:strRef>
          </c:tx>
          <c:spPr>
            <a:gradFill>
              <a:gsLst>
                <a:gs pos="3000">
                  <a:srgbClr val="DA105D"/>
                </a:gs>
                <a:gs pos="30000">
                  <a:srgbClr val="66008F"/>
                </a:gs>
                <a:gs pos="88000">
                  <a:srgbClr val="BA0066"/>
                </a:gs>
                <a:gs pos="95000">
                  <a:srgbClr val="FF0000"/>
                </a:gs>
                <a:gs pos="100000">
                  <a:srgbClr val="FF8200"/>
                </a:gs>
              </a:gsLst>
              <a:lin ang="8100000" scaled="0"/>
            </a:gradFill>
          </c:spPr>
          <c:dLbls>
            <c:dLbl>
              <c:idx val="0"/>
              <c:layout>
                <c:manualLayout>
                  <c:x val="3.9754274901683803E-2"/>
                  <c:y val="-2.4496820447779517E-2"/>
                </c:manualLayout>
              </c:layout>
              <c:showLegendKey val="0"/>
              <c:showVal val="1"/>
              <c:showCatName val="0"/>
              <c:showSerName val="0"/>
              <c:showPercent val="0"/>
              <c:showBubbleSize val="0"/>
            </c:dLbl>
            <c:dLbl>
              <c:idx val="1"/>
              <c:layout>
                <c:manualLayout>
                  <c:x val="4.1475433657406184E-3"/>
                  <c:y val="-0.10382598721658511"/>
                </c:manualLayout>
              </c:layout>
              <c:showLegendKey val="0"/>
              <c:showVal val="1"/>
              <c:showCatName val="0"/>
              <c:showSerName val="0"/>
              <c:showPercent val="0"/>
              <c:showBubbleSize val="0"/>
            </c:dLbl>
            <c:dLbl>
              <c:idx val="2"/>
              <c:layout>
                <c:manualLayout>
                  <c:x val="6.6443291216042241E-3"/>
                  <c:y val="-0.25967011628502323"/>
                </c:manualLayout>
              </c:layout>
              <c:showLegendKey val="0"/>
              <c:showVal val="1"/>
              <c:showCatName val="0"/>
              <c:showSerName val="0"/>
              <c:showPercent val="0"/>
              <c:showBubbleSize val="0"/>
            </c:dLbl>
            <c:dLbl>
              <c:idx val="3"/>
              <c:layout>
                <c:manualLayout>
                  <c:x val="4.5072471036661822E-3"/>
                  <c:y val="-0.3247078325735599"/>
                </c:manualLayout>
              </c:layout>
              <c:showLegendKey val="0"/>
              <c:showVal val="1"/>
              <c:showCatName val="0"/>
              <c:showSerName val="0"/>
              <c:showPercent val="0"/>
              <c:showBubbleSize val="0"/>
            </c:dLbl>
            <c:dLbl>
              <c:idx val="4"/>
              <c:layout>
                <c:manualLayout>
                  <c:x val="-6.4752254644614643E-3"/>
                  <c:y val="-0.25977526452858363"/>
                </c:manualLayout>
              </c:layout>
              <c:showLegendKey val="0"/>
              <c:showVal val="1"/>
              <c:showCatName val="0"/>
              <c:showSerName val="0"/>
              <c:showPercent val="0"/>
              <c:showBubbleSize val="0"/>
            </c:dLbl>
            <c:dLbl>
              <c:idx val="5"/>
              <c:layout>
                <c:manualLayout>
                  <c:x val="-2.1019839512981466E-3"/>
                  <c:y val="-0.19927413349772197"/>
                </c:manualLayout>
              </c:layout>
              <c:showLegendKey val="0"/>
              <c:showVal val="1"/>
              <c:showCatName val="0"/>
              <c:showSerName val="0"/>
              <c:showPercent val="0"/>
              <c:showBubbleSize val="0"/>
            </c:dLbl>
            <c:dLbl>
              <c:idx val="6"/>
              <c:layout>
                <c:manualLayout>
                  <c:x val="-2.1587483950023497E-3"/>
                  <c:y val="-0.12540130720571291"/>
                </c:manualLayout>
              </c:layout>
              <c:showLegendKey val="0"/>
              <c:showVal val="1"/>
              <c:showCatName val="0"/>
              <c:showSerName val="0"/>
              <c:showPercent val="0"/>
              <c:showBubbleSize val="0"/>
            </c:dLbl>
            <c:dLbl>
              <c:idx val="7"/>
              <c:layout>
                <c:manualLayout>
                  <c:x val="-1.8130297407091629E-3"/>
                  <c:y val="-0.36088312490350472"/>
                </c:manualLayout>
              </c:layout>
              <c:showLegendKey val="0"/>
              <c:showVal val="1"/>
              <c:showCatName val="0"/>
              <c:showSerName val="0"/>
              <c:showPercent val="0"/>
              <c:showBubbleSize val="0"/>
            </c:dLbl>
            <c:dLbl>
              <c:idx val="8"/>
              <c:layout>
                <c:manualLayout>
                  <c:x val="-8.9721811737493336E-3"/>
                  <c:y val="-0.26396435680716329"/>
                </c:manualLayout>
              </c:layout>
              <c:showLegendKey val="0"/>
              <c:showVal val="1"/>
              <c:showCatName val="0"/>
              <c:showSerName val="0"/>
              <c:showPercent val="0"/>
              <c:showBubbleSize val="0"/>
            </c:dLbl>
            <c:dLbl>
              <c:idx val="9"/>
              <c:layout>
                <c:manualLayout>
                  <c:x val="-8.6336882308316112E-3"/>
                  <c:y val="-0.17002237136465326"/>
                </c:manualLayout>
              </c:layout>
              <c:showLegendKey val="0"/>
              <c:showVal val="1"/>
              <c:showCatName val="0"/>
              <c:showSerName val="0"/>
              <c:showPercent val="0"/>
              <c:showBubbleSize val="0"/>
            </c:dLbl>
            <c:dLbl>
              <c:idx val="10"/>
              <c:layout>
                <c:manualLayout>
                  <c:x val="-2.7967634618921041E-2"/>
                  <c:y val="-0.30661921129827813"/>
                </c:manualLayout>
              </c:layout>
              <c:showLegendKey val="0"/>
              <c:showVal val="1"/>
              <c:showCatName val="0"/>
              <c:showSerName val="0"/>
              <c:showPercent val="0"/>
              <c:showBubbleSize val="0"/>
            </c:dLbl>
            <c:numFmt formatCode="#,##0" sourceLinked="0"/>
            <c:txPr>
              <a:bodyPr/>
              <a:lstStyle/>
              <a:p>
                <a:pPr>
                  <a:defRPr sz="1400" b="1"/>
                </a:pPr>
                <a:endParaRPr lang="mk-MK"/>
              </a:p>
            </c:txPr>
            <c:showLegendKey val="0"/>
            <c:showVal val="1"/>
            <c:showCatName val="0"/>
            <c:showSerName val="0"/>
            <c:showPercent val="0"/>
            <c:showBubbleSize val="0"/>
            <c:showLeaderLines val="0"/>
          </c:dLbls>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Sheet1!$B$2:$B$12</c:f>
              <c:numCache>
                <c:formatCode>General</c:formatCode>
                <c:ptCount val="11"/>
                <c:pt idx="0">
                  <c:v>2098</c:v>
                </c:pt>
                <c:pt idx="1">
                  <c:v>2132</c:v>
                </c:pt>
                <c:pt idx="2">
                  <c:v>2297</c:v>
                </c:pt>
                <c:pt idx="3">
                  <c:v>2310</c:v>
                </c:pt>
                <c:pt idx="4">
                  <c:v>2285</c:v>
                </c:pt>
                <c:pt idx="5">
                  <c:v>2215</c:v>
                </c:pt>
                <c:pt idx="6">
                  <c:v>2151</c:v>
                </c:pt>
                <c:pt idx="7">
                  <c:v>2361</c:v>
                </c:pt>
                <c:pt idx="8">
                  <c:v>2288</c:v>
                </c:pt>
                <c:pt idx="9">
                  <c:v>2217</c:v>
                </c:pt>
                <c:pt idx="10">
                  <c:v>2306</c:v>
                </c:pt>
              </c:numCache>
            </c:numRef>
          </c:val>
        </c:ser>
        <c:dLbls>
          <c:showLegendKey val="0"/>
          <c:showVal val="0"/>
          <c:showCatName val="0"/>
          <c:showSerName val="0"/>
          <c:showPercent val="0"/>
          <c:showBubbleSize val="0"/>
        </c:dLbls>
        <c:gapDepth val="324"/>
        <c:axId val="195812352"/>
        <c:axId val="197800704"/>
        <c:axId val="0"/>
      </c:area3DChart>
      <c:catAx>
        <c:axId val="195812352"/>
        <c:scaling>
          <c:orientation val="minMax"/>
        </c:scaling>
        <c:delete val="0"/>
        <c:axPos val="b"/>
        <c:numFmt formatCode="General" sourceLinked="0"/>
        <c:majorTickMark val="out"/>
        <c:minorTickMark val="none"/>
        <c:tickLblPos val="nextTo"/>
        <c:crossAx val="197800704"/>
        <c:crosses val="autoZero"/>
        <c:auto val="1"/>
        <c:lblAlgn val="ctr"/>
        <c:lblOffset val="100"/>
        <c:noMultiLvlLbl val="0"/>
      </c:catAx>
      <c:valAx>
        <c:axId val="197800704"/>
        <c:scaling>
          <c:orientation val="minMax"/>
          <c:max val="2400"/>
          <c:min val="2000"/>
        </c:scaling>
        <c:delete val="0"/>
        <c:axPos val="l"/>
        <c:majorGridlines/>
        <c:numFmt formatCode="#,##0.00" sourceLinked="0"/>
        <c:majorTickMark val="out"/>
        <c:minorTickMark val="none"/>
        <c:tickLblPos val="nextTo"/>
        <c:crossAx val="195812352"/>
        <c:crosses val="autoZero"/>
        <c:crossBetween val="midCat"/>
      </c:valAx>
    </c:plotArea>
    <c:plotVisOnly val="1"/>
    <c:dispBlanksAs val="zero"/>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0.17233330010963818"/>
          <c:y val="2.2791856900240413E-2"/>
          <c:w val="0.61915539403728381"/>
          <c:h val="0.85670850258398312"/>
        </c:manualLayout>
      </c:layout>
      <c:barChart>
        <c:barDir val="col"/>
        <c:grouping val="clustered"/>
        <c:varyColors val="0"/>
        <c:ser>
          <c:idx val="0"/>
          <c:order val="0"/>
          <c:tx>
            <c:strRef>
              <c:f>Sheet1!$B$1</c:f>
              <c:strCache>
                <c:ptCount val="1"/>
                <c:pt idx="0">
                  <c:v>Остварени приходи-2010</c:v>
                </c:pt>
              </c:strCache>
            </c:strRef>
          </c:tx>
          <c:spPr>
            <a:solidFill>
              <a:srgbClr val="B30D70"/>
            </a:solidFill>
          </c:spPr>
          <c:invertIfNegative val="0"/>
          <c:dLbls>
            <c:dLbl>
              <c:idx val="0"/>
              <c:layout>
                <c:manualLayout>
                  <c:x val="-6.6458627324089596E-3"/>
                  <c:y val="4.4781934896939844E-2"/>
                </c:manualLayout>
              </c:layout>
              <c:showLegendKey val="0"/>
              <c:showVal val="1"/>
              <c:showCatName val="0"/>
              <c:showSerName val="0"/>
              <c:showPercent val="0"/>
              <c:showBubbleSize val="0"/>
            </c:dLbl>
            <c:dLbl>
              <c:idx val="1"/>
              <c:layout>
                <c:manualLayout>
                  <c:x val="-2.2152875774696531E-3"/>
                  <c:y val="2.6122795356548243E-2"/>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Sheet1!$B$2:$B$3</c:f>
              <c:numCache>
                <c:formatCode>General</c:formatCode>
                <c:ptCount val="2"/>
                <c:pt idx="0">
                  <c:v>1456642652</c:v>
                </c:pt>
                <c:pt idx="1">
                  <c:v>495965839</c:v>
                </c:pt>
              </c:numCache>
            </c:numRef>
          </c:val>
        </c:ser>
        <c:ser>
          <c:idx val="1"/>
          <c:order val="1"/>
          <c:tx>
            <c:strRef>
              <c:f>Sheet1!$C$1</c:f>
              <c:strCache>
                <c:ptCount val="1"/>
                <c:pt idx="0">
                  <c:v>Остварени приходи-2011</c:v>
                </c:pt>
              </c:strCache>
            </c:strRef>
          </c:tx>
          <c:spPr>
            <a:solidFill>
              <a:srgbClr val="7030A0"/>
            </a:solidFill>
          </c:spPr>
          <c:invertIfNegative val="0"/>
          <c:dLbls>
            <c:dLbl>
              <c:idx val="0"/>
              <c:layout>
                <c:manualLayout>
                  <c:x val="4.4296788482834993E-3"/>
                  <c:y val="0.13445378151260504"/>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Sheet1!$C$2:$C$3</c:f>
              <c:numCache>
                <c:formatCode>#,##0</c:formatCode>
                <c:ptCount val="2"/>
                <c:pt idx="0">
                  <c:v>1469648176</c:v>
                </c:pt>
                <c:pt idx="1">
                  <c:v>590444299</c:v>
                </c:pt>
              </c:numCache>
            </c:numRef>
          </c:val>
        </c:ser>
        <c:ser>
          <c:idx val="2"/>
          <c:order val="2"/>
          <c:tx>
            <c:strRef>
              <c:f>Sheet1!$D$1</c:f>
              <c:strCache>
                <c:ptCount val="1"/>
                <c:pt idx="0">
                  <c:v>Остварени приходи-2012</c:v>
                </c:pt>
              </c:strCache>
            </c:strRef>
          </c:tx>
          <c:spPr>
            <a:gradFill>
              <a:gsLst>
                <a:gs pos="0">
                  <a:srgbClr val="000082"/>
                </a:gs>
                <a:gs pos="30000">
                  <a:srgbClr val="66008F"/>
                </a:gs>
                <a:gs pos="64999">
                  <a:srgbClr val="BA0066"/>
                </a:gs>
                <a:gs pos="89999">
                  <a:srgbClr val="FF0000"/>
                </a:gs>
                <a:gs pos="100000">
                  <a:srgbClr val="FF8200"/>
                </a:gs>
              </a:gsLst>
              <a:lin ang="5400000" scaled="0"/>
            </a:gradFill>
          </c:spPr>
          <c:invertIfNegative val="0"/>
          <c:dLbls>
            <c:dLbl>
              <c:idx val="0"/>
              <c:layout>
                <c:manualLayout>
                  <c:x val="1.1071728220844984E-2"/>
                  <c:y val="3.7335615919096322E-2"/>
                </c:manualLayout>
              </c:layout>
              <c:showLegendKey val="0"/>
              <c:showVal val="1"/>
              <c:showCatName val="0"/>
              <c:showSerName val="0"/>
              <c:showPercent val="0"/>
              <c:showBubbleSize val="0"/>
            </c:dLbl>
            <c:dLbl>
              <c:idx val="1"/>
              <c:layout>
                <c:manualLayout>
                  <c:x val="4.4304007228465926E-3"/>
                  <c:y val="6.3441074437331449E-2"/>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Sheet1!$D$2:$D$3</c:f>
              <c:numCache>
                <c:formatCode>General</c:formatCode>
                <c:ptCount val="2"/>
                <c:pt idx="0">
                  <c:v>1499371454</c:v>
                </c:pt>
                <c:pt idx="1">
                  <c:v>484389850</c:v>
                </c:pt>
              </c:numCache>
            </c:numRef>
          </c:val>
        </c:ser>
        <c:ser>
          <c:idx val="3"/>
          <c:order val="3"/>
          <c:tx>
            <c:strRef>
              <c:f>Sheet1!$E$1</c:f>
              <c:strCache>
                <c:ptCount val="1"/>
                <c:pt idx="0">
                  <c:v>Остварени приходи-2013</c:v>
                </c:pt>
              </c:strCache>
            </c:strRef>
          </c:tx>
          <c:spPr>
            <a:solidFill>
              <a:srgbClr val="F686C9"/>
            </a:solidFill>
          </c:spPr>
          <c:invertIfNegative val="0"/>
          <c:dLbls>
            <c:dLbl>
              <c:idx val="0"/>
              <c:layout>
                <c:manualLayout>
                  <c:x val="6.6458627324089596E-3"/>
                  <c:y val="9.3295697701958002E-2"/>
                </c:manualLayout>
              </c:layout>
              <c:showLegendKey val="0"/>
              <c:showVal val="1"/>
              <c:showCatName val="0"/>
              <c:showSerName val="0"/>
              <c:showPercent val="0"/>
              <c:showBubbleSize val="0"/>
            </c:dLbl>
            <c:dLbl>
              <c:idx val="1"/>
              <c:layout>
                <c:manualLayout>
                  <c:x val="0"/>
                  <c:y val="1.8659139540391601E-2"/>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Sheet1!$E$2:$E$3</c:f>
              <c:numCache>
                <c:formatCode>General</c:formatCode>
                <c:ptCount val="2"/>
                <c:pt idx="0">
                  <c:v>1522186828</c:v>
                </c:pt>
                <c:pt idx="1">
                  <c:v>727547516</c:v>
                </c:pt>
              </c:numCache>
            </c:numRef>
          </c:val>
        </c:ser>
        <c:ser>
          <c:idx val="4"/>
          <c:order val="4"/>
          <c:tx>
            <c:strRef>
              <c:f>Sheet1!$F$1</c:f>
              <c:strCache>
                <c:ptCount val="1"/>
                <c:pt idx="0">
                  <c:v>Остварени приходи-2014</c:v>
                </c:pt>
              </c:strCache>
            </c:strRef>
          </c:tx>
          <c:spPr>
            <a:solidFill>
              <a:srgbClr val="F7C5D7"/>
            </a:solidFill>
          </c:spPr>
          <c:invertIfNegative val="0"/>
          <c:dLbls>
            <c:dLbl>
              <c:idx val="0"/>
              <c:layout>
                <c:manualLayout>
                  <c:x val="3.8216560509554139E-2"/>
                  <c:y val="9.5490716180371346E-2"/>
                </c:manualLayout>
              </c:layout>
              <c:showLegendKey val="0"/>
              <c:showVal val="1"/>
              <c:showCatName val="0"/>
              <c:showSerName val="0"/>
              <c:showPercent val="0"/>
              <c:showBubbleSize val="0"/>
            </c:dLbl>
            <c:dLbl>
              <c:idx val="1"/>
              <c:layout>
                <c:manualLayout>
                  <c:x val="6.369426751592357E-3"/>
                  <c:y val="2.475685234305924E-2"/>
                </c:manualLayout>
              </c:layout>
              <c:showLegendKey val="0"/>
              <c:showVal val="1"/>
              <c:showCatName val="0"/>
              <c:showSerName val="0"/>
              <c:showPercent val="0"/>
              <c:showBubbleSize val="0"/>
            </c:dLbl>
            <c:numFmt formatCode="#,##0.00" sourceLinked="0"/>
            <c:txPr>
              <a:bodyPr/>
              <a:lstStyle/>
              <a:p>
                <a:pPr>
                  <a:defRPr sz="1100"/>
                </a:pPr>
                <a:endParaRPr lang="mk-MK"/>
              </a:p>
            </c:txPr>
            <c:showLegendKey val="0"/>
            <c:showVal val="1"/>
            <c:showCatName val="0"/>
            <c:showSerName val="0"/>
            <c:showPercent val="0"/>
            <c:showBubbleSize val="0"/>
            <c:showLeaderLines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Sheet1!$F$2:$F$3</c:f>
              <c:numCache>
                <c:formatCode>General</c:formatCode>
                <c:ptCount val="2"/>
                <c:pt idx="0">
                  <c:v>1374557744</c:v>
                </c:pt>
                <c:pt idx="1">
                  <c:v>833662266</c:v>
                </c:pt>
              </c:numCache>
            </c:numRef>
          </c:val>
        </c:ser>
        <c:dLbls>
          <c:showLegendKey val="0"/>
          <c:showVal val="0"/>
          <c:showCatName val="0"/>
          <c:showSerName val="0"/>
          <c:showPercent val="0"/>
          <c:showBubbleSize val="0"/>
        </c:dLbls>
        <c:gapWidth val="150"/>
        <c:axId val="192135552"/>
        <c:axId val="192137088"/>
      </c:barChart>
      <c:catAx>
        <c:axId val="192135552"/>
        <c:scaling>
          <c:orientation val="minMax"/>
        </c:scaling>
        <c:delete val="0"/>
        <c:axPos val="b"/>
        <c:majorTickMark val="out"/>
        <c:minorTickMark val="none"/>
        <c:tickLblPos val="nextTo"/>
        <c:txPr>
          <a:bodyPr/>
          <a:lstStyle/>
          <a:p>
            <a:pPr>
              <a:defRPr sz="900"/>
            </a:pPr>
            <a:endParaRPr lang="mk-MK"/>
          </a:p>
        </c:txPr>
        <c:crossAx val="192137088"/>
        <c:crosses val="autoZero"/>
        <c:auto val="1"/>
        <c:lblAlgn val="ctr"/>
        <c:lblOffset val="100"/>
        <c:noMultiLvlLbl val="0"/>
      </c:catAx>
      <c:valAx>
        <c:axId val="192137088"/>
        <c:scaling>
          <c:orientation val="minMax"/>
        </c:scaling>
        <c:delete val="0"/>
        <c:axPos val="l"/>
        <c:majorGridlines/>
        <c:numFmt formatCode="#,##0.0" sourceLinked="0"/>
        <c:majorTickMark val="out"/>
        <c:minorTickMark val="none"/>
        <c:tickLblPos val="nextTo"/>
        <c:crossAx val="192135552"/>
        <c:crosses val="autoZero"/>
        <c:crossBetween val="between"/>
      </c:valAx>
    </c:plotArea>
    <c:legend>
      <c:legendPos val="r"/>
      <c:layout>
        <c:manualLayout>
          <c:xMode val="edge"/>
          <c:yMode val="edge"/>
          <c:x val="0.80408694393229241"/>
          <c:y val="1.7479061801624934E-2"/>
          <c:w val="0.19591320193256098"/>
          <c:h val="0.97052013060701625"/>
        </c:manualLayout>
      </c:layout>
      <c:overlay val="0"/>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523607254407208E-2"/>
          <c:y val="0"/>
          <c:w val="0.56575415995705847"/>
          <c:h val="1"/>
        </c:manualLayout>
      </c:layout>
      <c:doughnutChart>
        <c:varyColors val="1"/>
        <c:ser>
          <c:idx val="0"/>
          <c:order val="0"/>
          <c:tx>
            <c:strRef>
              <c:f>Sheet1!$B$1</c:f>
              <c:strCache>
                <c:ptCount val="1"/>
                <c:pt idx="0">
                  <c:v>Број на рекламации-Македонска пошта</c:v>
                </c:pt>
              </c:strCache>
            </c:strRef>
          </c:tx>
          <c:spPr>
            <a:gradFill>
              <a:gsLst>
                <a:gs pos="0">
                  <a:srgbClr val="000082"/>
                </a:gs>
                <a:gs pos="15000">
                  <a:srgbClr val="6B008D"/>
                </a:gs>
                <a:gs pos="7000">
                  <a:srgbClr val="66008F"/>
                </a:gs>
                <a:gs pos="64999">
                  <a:srgbClr val="BA0066"/>
                </a:gs>
                <a:gs pos="89999">
                  <a:srgbClr val="FF0000"/>
                </a:gs>
                <a:gs pos="100000">
                  <a:srgbClr val="FF8200"/>
                </a:gs>
              </a:gsLst>
              <a:lin ang="5400000" scaled="0"/>
            </a:gradFill>
            <a:effectLst>
              <a:glow rad="63500">
                <a:srgbClr val="F7C5D7">
                  <a:alpha val="40000"/>
                </a:srgbClr>
              </a:glow>
              <a:innerShdw blurRad="63500" dist="50800" dir="18900000">
                <a:srgbClr val="B30D70">
                  <a:alpha val="50000"/>
                </a:srgbClr>
              </a:innerShdw>
            </a:effectLst>
          </c:spPr>
          <c:dPt>
            <c:idx val="0"/>
            <c:bubble3D val="0"/>
            <c:spPr>
              <a:solidFill>
                <a:srgbClr val="B30D70"/>
              </a:solidFill>
              <a:effectLst>
                <a:glow rad="63500">
                  <a:srgbClr val="F7C5D7">
                    <a:alpha val="40000"/>
                  </a:srgbClr>
                </a:glow>
                <a:innerShdw blurRad="63500" dist="50800" dir="18900000">
                  <a:srgbClr val="B30D70">
                    <a:alpha val="50000"/>
                  </a:srgbClr>
                </a:innerShdw>
              </a:effectLst>
            </c:spPr>
          </c:dPt>
          <c:dPt>
            <c:idx val="1"/>
            <c:bubble3D val="0"/>
            <c:spPr>
              <a:solidFill>
                <a:srgbClr val="F7C5D7"/>
              </a:solidFill>
              <a:effectLst>
                <a:glow rad="63500">
                  <a:srgbClr val="F7C5D7">
                    <a:alpha val="40000"/>
                  </a:srgbClr>
                </a:glow>
                <a:innerShdw blurRad="63500" dist="50800" dir="18900000">
                  <a:srgbClr val="B30D70">
                    <a:alpha val="50000"/>
                  </a:srgbClr>
                </a:innerShdw>
              </a:effectLst>
            </c:spPr>
          </c:dPt>
          <c:dLbls>
            <c:numFmt formatCode="#,##0" sourceLinked="0"/>
            <c:txPr>
              <a:bodyPr/>
              <a:lstStyle/>
              <a:p>
                <a:pPr>
                  <a:defRPr sz="1600" b="1">
                    <a:solidFill>
                      <a:sysClr val="windowText" lastClr="000000"/>
                    </a:solidFill>
                  </a:defRPr>
                </a:pPr>
                <a:endParaRPr lang="mk-MK"/>
              </a:p>
            </c:txPr>
            <c:showLegendKey val="0"/>
            <c:showVal val="1"/>
            <c:showCatName val="0"/>
            <c:showSerName val="0"/>
            <c:showPercent val="0"/>
            <c:showBubbleSize val="0"/>
            <c:showLeaderLines val="1"/>
          </c:dLbls>
          <c:cat>
            <c:strRef>
              <c:f>Sheet1!$A$2:$A$4</c:f>
              <c:strCache>
                <c:ptCount val="3"/>
                <c:pt idx="0">
                  <c:v>Пречекорување на рокот за достава</c:v>
                </c:pt>
                <c:pt idx="1">
                  <c:v>За оштетени/намалена содржина на поштенски пратки</c:v>
                </c:pt>
                <c:pt idx="2">
                  <c:v>За изгубени поштенски пратки</c:v>
                </c:pt>
              </c:strCache>
            </c:strRef>
          </c:cat>
          <c:val>
            <c:numRef>
              <c:f>Sheet1!$B$2:$B$4</c:f>
              <c:numCache>
                <c:formatCode>General</c:formatCode>
                <c:ptCount val="3"/>
                <c:pt idx="0">
                  <c:v>594</c:v>
                </c:pt>
                <c:pt idx="1">
                  <c:v>308</c:v>
                </c:pt>
                <c:pt idx="2">
                  <c:v>3852</c:v>
                </c:pt>
              </c:numCache>
            </c:numRef>
          </c:val>
        </c:ser>
        <c:dLbls>
          <c:showLegendKey val="0"/>
          <c:showVal val="0"/>
          <c:showCatName val="0"/>
          <c:showSerName val="0"/>
          <c:showPercent val="0"/>
          <c:showBubbleSize val="0"/>
          <c:showLeaderLines val="1"/>
        </c:dLbls>
        <c:firstSliceAng val="22"/>
        <c:holeSize val="50"/>
      </c:doughnutChart>
    </c:plotArea>
    <c:legend>
      <c:legendPos val="r"/>
      <c:layout>
        <c:manualLayout>
          <c:xMode val="edge"/>
          <c:yMode val="edge"/>
          <c:x val="0.6773790474258351"/>
          <c:y val="4.2879731893681695E-2"/>
          <c:w val="0.29262767274863583"/>
          <c:h val="0.91630002435262603"/>
        </c:manualLayout>
      </c:layout>
      <c:overlay val="0"/>
      <c:txPr>
        <a:bodyPr/>
        <a:lstStyle/>
        <a:p>
          <a:pPr>
            <a:defRPr sz="1100" b="1"/>
          </a:pPr>
          <a:endParaRPr lang="mk-MK"/>
        </a:p>
      </c:txPr>
    </c:legend>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5.9080223667693714E-2"/>
          <c:y val="0"/>
          <c:w val="0.55378362728813479"/>
          <c:h val="1"/>
        </c:manualLayout>
      </c:layout>
      <c:doughnutChart>
        <c:varyColors val="1"/>
        <c:ser>
          <c:idx val="0"/>
          <c:order val="0"/>
          <c:tx>
            <c:strRef>
              <c:f>Sheet1!$B$1</c:f>
              <c:strCache>
                <c:ptCount val="1"/>
                <c:pt idx="0">
                  <c:v>Вкупен број на рекламации во 2013 година</c:v>
                </c:pt>
              </c:strCache>
            </c:strRef>
          </c:tx>
          <c:dPt>
            <c:idx val="0"/>
            <c:bubble3D val="0"/>
            <c:spPr>
              <a:gradFill>
                <a:gsLst>
                  <a:gs pos="0">
                    <a:srgbClr val="000082"/>
                  </a:gs>
                  <a:gs pos="15000">
                    <a:srgbClr val="6B008D"/>
                  </a:gs>
                  <a:gs pos="2000">
                    <a:srgbClr val="66008F"/>
                  </a:gs>
                  <a:gs pos="64999">
                    <a:srgbClr val="BA0066"/>
                  </a:gs>
                  <a:gs pos="89999">
                    <a:srgbClr val="FF0000"/>
                  </a:gs>
                  <a:gs pos="100000">
                    <a:srgbClr val="FF8200"/>
                  </a:gs>
                </a:gsLst>
                <a:lin ang="5400000" scaled="0"/>
              </a:gradFill>
            </c:spPr>
          </c:dPt>
          <c:dPt>
            <c:idx val="1"/>
            <c:bubble3D val="0"/>
            <c:spPr>
              <a:solidFill>
                <a:srgbClr val="B30D7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numFmt formatCode="#,##0" sourceLinked="0"/>
            <c:txPr>
              <a:bodyPr/>
              <a:lstStyle/>
              <a:p>
                <a:pPr>
                  <a:defRPr sz="1200" b="1">
                    <a:solidFill>
                      <a:schemeClr val="bg1"/>
                    </a:solidFill>
                  </a:defRPr>
                </a:pPr>
                <a:endParaRPr lang="mk-MK"/>
              </a:p>
            </c:txPr>
            <c:showLegendKey val="0"/>
            <c:showVal val="0"/>
            <c:showCatName val="0"/>
            <c:showSerName val="0"/>
            <c:showPercent val="0"/>
            <c:showBubbleSize val="0"/>
          </c:dLbls>
          <c:cat>
            <c:strRef>
              <c:f>Sheet1!$A$2:$A$3</c:f>
              <c:strCache>
                <c:ptCount val="2"/>
                <c:pt idx="0">
                  <c:v>Македонска пошта</c:v>
                </c:pt>
                <c:pt idx="1">
                  <c:v>Давателите на поштенските услуги на слободниот поштенски пазар </c:v>
                </c:pt>
              </c:strCache>
            </c:strRef>
          </c:cat>
          <c:val>
            <c:numRef>
              <c:f>Sheet1!$B$2:$B$3</c:f>
              <c:numCache>
                <c:formatCode>General</c:formatCode>
                <c:ptCount val="2"/>
                <c:pt idx="0">
                  <c:v>4808</c:v>
                </c:pt>
                <c:pt idx="1">
                  <c:v>217</c:v>
                </c:pt>
              </c:numCache>
            </c:numRef>
          </c:val>
        </c:ser>
        <c:dLbls>
          <c:showLegendKey val="0"/>
          <c:showVal val="0"/>
          <c:showCatName val="0"/>
          <c:showSerName val="0"/>
          <c:showPercent val="0"/>
          <c:showBubbleSize val="0"/>
          <c:showLeaderLines val="1"/>
        </c:dLbls>
        <c:firstSliceAng val="134"/>
        <c:holeSize val="50"/>
      </c:doughnutChart>
    </c:plotArea>
    <c:legend>
      <c:legendPos val="r"/>
      <c:legendEntry>
        <c:idx val="0"/>
        <c:txPr>
          <a:bodyPr/>
          <a:lstStyle/>
          <a:p>
            <a:pPr>
              <a:defRPr sz="1100"/>
            </a:pPr>
            <a:endParaRPr lang="mk-MK"/>
          </a:p>
        </c:txPr>
      </c:legendEntry>
      <c:legendEntry>
        <c:idx val="1"/>
        <c:txPr>
          <a:bodyPr/>
          <a:lstStyle/>
          <a:p>
            <a:pPr>
              <a:defRPr sz="1100"/>
            </a:pPr>
            <a:endParaRPr lang="mk-MK"/>
          </a:p>
        </c:txPr>
      </c:legendEntry>
      <c:layout>
        <c:manualLayout>
          <c:xMode val="edge"/>
          <c:yMode val="edge"/>
          <c:x val="0.66097390295046621"/>
          <c:y val="7.1190016342296825E-2"/>
          <c:w val="0.32569160031794692"/>
          <c:h val="0.85989765430264609"/>
        </c:manualLayout>
      </c:layout>
      <c:overlay val="0"/>
      <c:txPr>
        <a:bodyPr/>
        <a:lstStyle/>
        <a:p>
          <a:pPr>
            <a:defRPr sz="1100"/>
          </a:pPr>
          <a:endParaRPr lang="mk-MK"/>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view3D>
      <c:rotX val="75"/>
      <c:rotY val="22"/>
      <c:rAngAx val="0"/>
      <c:perspective val="30"/>
    </c:view3D>
    <c:floor>
      <c:thickness val="0"/>
    </c:floor>
    <c:sideWall>
      <c:thickness val="0"/>
    </c:sideWall>
    <c:backWall>
      <c:thickness val="0"/>
    </c:backWall>
    <c:plotArea>
      <c:layout>
        <c:manualLayout>
          <c:layoutTarget val="inner"/>
          <c:xMode val="edge"/>
          <c:yMode val="edge"/>
          <c:x val="0.12307323563721201"/>
          <c:y val="0"/>
          <c:w val="0.58057658523021705"/>
          <c:h val="0.99916909557576017"/>
        </c:manualLayout>
      </c:layout>
      <c:pie3DChart>
        <c:varyColors val="1"/>
        <c:ser>
          <c:idx val="0"/>
          <c:order val="0"/>
          <c:tx>
            <c:strRef>
              <c:f>Sheet1!$B$1</c:f>
              <c:strCache>
                <c:ptCount val="1"/>
                <c:pt idx="0">
                  <c:v>Број на рекламации-Македонска пошта</c:v>
                </c:pt>
              </c:strCache>
            </c:strRef>
          </c:tx>
          <c:spPr>
            <a:gradFill>
              <a:gsLst>
                <a:gs pos="0">
                  <a:srgbClr val="000082"/>
                </a:gs>
                <a:gs pos="15000">
                  <a:srgbClr val="6B008D"/>
                </a:gs>
                <a:gs pos="3000">
                  <a:srgbClr val="66008F"/>
                </a:gs>
                <a:gs pos="85000">
                  <a:srgbClr val="BA0066"/>
                </a:gs>
                <a:gs pos="95000">
                  <a:srgbClr val="FF0000"/>
                </a:gs>
                <a:gs pos="100000">
                  <a:srgbClr val="FF8200"/>
                </a:gs>
              </a:gsLst>
              <a:lin ang="5400000" scaled="0"/>
            </a:gradFill>
          </c:spPr>
          <c:dPt>
            <c:idx val="0"/>
            <c:bubble3D val="0"/>
            <c:spPr>
              <a:solidFill>
                <a:srgbClr val="E6146E"/>
              </a:solidFill>
            </c:spPr>
          </c:dPt>
          <c:dLbls>
            <c:dLbl>
              <c:idx val="0"/>
              <c:layout>
                <c:manualLayout>
                  <c:x val="-8.205822707087479E-2"/>
                  <c:y val="-0.13873255498235135"/>
                </c:manualLayout>
              </c:layout>
              <c:showLegendKey val="0"/>
              <c:showVal val="1"/>
              <c:showCatName val="0"/>
              <c:showSerName val="0"/>
              <c:showPercent val="0"/>
              <c:showBubbleSize val="0"/>
            </c:dLbl>
            <c:dLbl>
              <c:idx val="1"/>
              <c:layout>
                <c:manualLayout>
                  <c:x val="1.3142731128954845E-2"/>
                  <c:y val="0.10806914652909766"/>
                </c:manualLayout>
              </c:layout>
              <c:showLegendKey val="0"/>
              <c:showVal val="1"/>
              <c:showCatName val="0"/>
              <c:showSerName val="0"/>
              <c:showPercent val="0"/>
              <c:showBubbleSize val="0"/>
            </c:dLbl>
            <c:numFmt formatCode="#,##0" sourceLinked="0"/>
            <c:txPr>
              <a:bodyPr/>
              <a:lstStyle/>
              <a:p>
                <a:pPr>
                  <a:defRPr sz="1600" b="1">
                    <a:solidFill>
                      <a:schemeClr val="bg1"/>
                    </a:solidFill>
                  </a:defRPr>
                </a:pPr>
                <a:endParaRPr lang="mk-MK"/>
              </a:p>
            </c:txPr>
            <c:showLegendKey val="0"/>
            <c:showVal val="1"/>
            <c:showCatName val="0"/>
            <c:showSerName val="0"/>
            <c:showPercent val="0"/>
            <c:showBubbleSize val="0"/>
            <c:showLeaderLines val="1"/>
          </c:dLbls>
          <c:cat>
            <c:strRef>
              <c:f>Sheet1!$A$2:$A$3</c:f>
              <c:strCache>
                <c:ptCount val="2"/>
                <c:pt idx="0">
                  <c:v>Внатрешен сообраќај</c:v>
                </c:pt>
                <c:pt idx="1">
                  <c:v>Надворешен сообраќај</c:v>
                </c:pt>
              </c:strCache>
            </c:strRef>
          </c:cat>
          <c:val>
            <c:numRef>
              <c:f>Sheet1!$B$2:$B$3</c:f>
              <c:numCache>
                <c:formatCode>General</c:formatCode>
                <c:ptCount val="2"/>
                <c:pt idx="0">
                  <c:v>4116</c:v>
                </c:pt>
                <c:pt idx="1">
                  <c:v>692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680257664421166"/>
          <c:y val="0.15799451864097097"/>
          <c:w val="0.19191516790738236"/>
          <c:h val="0.62038659532199358"/>
        </c:manualLayout>
      </c:layout>
      <c:overlay val="0"/>
      <c:txPr>
        <a:bodyPr/>
        <a:lstStyle/>
        <a:p>
          <a:pPr>
            <a:defRPr sz="1100"/>
          </a:pPr>
          <a:endParaRPr lang="mk-MK"/>
        </a:p>
      </c:txPr>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2285339332583427E-2"/>
          <c:y val="0.15584380594809755"/>
          <c:w val="0.85494512049630711"/>
          <c:h val="0.71589363365601566"/>
        </c:manualLayout>
      </c:layout>
      <c:barChart>
        <c:barDir val="col"/>
        <c:grouping val="percentStacked"/>
        <c:varyColors val="0"/>
        <c:ser>
          <c:idx val="0"/>
          <c:order val="0"/>
          <c:tx>
            <c:strRef>
              <c:f>Sheet1!$B$1</c:f>
              <c:strCache>
                <c:ptCount val="1"/>
                <c:pt idx="0">
                  <c:v>Позитивно</c:v>
                </c:pt>
              </c:strCache>
            </c:strRef>
          </c:tx>
          <c:spPr>
            <a:gradFill>
              <a:gsLst>
                <a:gs pos="0">
                  <a:srgbClr val="000082"/>
                </a:gs>
                <a:gs pos="15000">
                  <a:srgbClr val="6B008D"/>
                </a:gs>
                <a:gs pos="3000">
                  <a:srgbClr val="66008F"/>
                </a:gs>
                <a:gs pos="85000">
                  <a:srgbClr val="BA0066"/>
                </a:gs>
                <a:gs pos="95000">
                  <a:srgbClr val="FF0000"/>
                </a:gs>
                <a:gs pos="100000">
                  <a:srgbClr val="FF8200"/>
                </a:gs>
              </a:gsLst>
              <a:lin ang="5400000" scaled="0"/>
            </a:gradFill>
          </c:spPr>
          <c:invertIfNegative val="0"/>
          <c:dLbls>
            <c:dLbl>
              <c:idx val="0"/>
              <c:tx>
                <c:rich>
                  <a:bodyPr/>
                  <a:lstStyle/>
                  <a:p>
                    <a:r>
                      <a:rPr lang="en-US" sz="1200"/>
                      <a:t>3.895</a:t>
                    </a:r>
                  </a:p>
                </c:rich>
              </c:tx>
              <c:showLegendKey val="0"/>
              <c:showVal val="1"/>
              <c:showCatName val="0"/>
              <c:showSerName val="0"/>
              <c:showPercent val="0"/>
              <c:showBubbleSize val="0"/>
            </c:dLbl>
            <c:dLbl>
              <c:idx val="1"/>
              <c:numFmt formatCode="#,##0" sourceLinked="0"/>
              <c:spPr/>
              <c:txPr>
                <a:bodyPr/>
                <a:lstStyle/>
                <a:p>
                  <a:pPr>
                    <a:defRPr sz="1200">
                      <a:solidFill>
                        <a:schemeClr val="bg1"/>
                      </a:solidFill>
                    </a:defRPr>
                  </a:pPr>
                  <a:endParaRPr lang="mk-MK"/>
                </a:p>
              </c:txPr>
              <c:showLegendKey val="0"/>
              <c:showVal val="1"/>
              <c:showCatName val="0"/>
              <c:showSerName val="0"/>
              <c:showPercent val="0"/>
              <c:showBubbleSize val="0"/>
            </c:dLbl>
            <c:dLbl>
              <c:idx val="2"/>
              <c:numFmt formatCode="#,##0" sourceLinked="0"/>
              <c:spPr/>
              <c:txPr>
                <a:bodyPr/>
                <a:lstStyle/>
                <a:p>
                  <a:pPr>
                    <a:defRPr sz="1200">
                      <a:solidFill>
                        <a:schemeClr val="bg1"/>
                      </a:solidFill>
                    </a:defRPr>
                  </a:pPr>
                  <a:endParaRPr lang="mk-MK"/>
                </a:p>
              </c:txPr>
              <c:showLegendKey val="0"/>
              <c:showVal val="1"/>
              <c:showCatName val="0"/>
              <c:showSerName val="0"/>
              <c:showPercent val="0"/>
              <c:showBubbleSize val="0"/>
            </c:dLbl>
            <c:dLbl>
              <c:idx val="3"/>
              <c:numFmt formatCode="#,##0" sourceLinked="0"/>
              <c:spPr/>
              <c:txPr>
                <a:bodyPr/>
                <a:lstStyle/>
                <a:p>
                  <a:pPr>
                    <a:defRPr sz="1200">
                      <a:solidFill>
                        <a:schemeClr val="bg1"/>
                      </a:solidFill>
                    </a:defRPr>
                  </a:pPr>
                  <a:endParaRPr lang="mk-MK"/>
                </a:p>
              </c:txPr>
              <c:showLegendKey val="0"/>
              <c:showVal val="1"/>
              <c:showCatName val="0"/>
              <c:showSerName val="0"/>
              <c:showPercent val="0"/>
              <c:showBubbleSize val="0"/>
            </c:dLbl>
            <c:dLbl>
              <c:idx val="4"/>
              <c:numFmt formatCode="#,##0" sourceLinked="0"/>
              <c:spPr/>
              <c:txPr>
                <a:bodyPr/>
                <a:lstStyle/>
                <a:p>
                  <a:pPr>
                    <a:defRPr sz="1200">
                      <a:solidFill>
                        <a:schemeClr val="bg1"/>
                      </a:solidFill>
                    </a:defRPr>
                  </a:pPr>
                  <a:endParaRPr lang="mk-MK"/>
                </a:p>
              </c:txPr>
              <c:showLegendKey val="0"/>
              <c:showVal val="1"/>
              <c:showCatName val="0"/>
              <c:showSerName val="0"/>
              <c:showPercent val="0"/>
              <c:showBubbleSize val="0"/>
            </c:dLbl>
            <c:numFmt formatCode="#,##0" sourceLinked="0"/>
            <c:txPr>
              <a:bodyPr/>
              <a:lstStyle/>
              <a:p>
                <a:pPr>
                  <a:defRPr sz="1100">
                    <a:solidFill>
                      <a:schemeClr val="bg1"/>
                    </a:solidFill>
                  </a:defRPr>
                </a:pPr>
                <a:endParaRPr lang="mk-MK"/>
              </a:p>
            </c:txPr>
            <c:showLegendKey val="0"/>
            <c:showVal val="1"/>
            <c:showCatName val="0"/>
            <c:showSerName val="0"/>
            <c:showPercent val="0"/>
            <c:showBubbleSize val="0"/>
            <c:showLeaderLines val="0"/>
          </c:dLbls>
          <c:cat>
            <c:strRef>
              <c:f>Sheet1!$A$2:$A$6</c:f>
              <c:strCache>
                <c:ptCount val="5"/>
                <c:pt idx="0">
                  <c:v>препорачани писма</c:v>
                </c:pt>
                <c:pt idx="1">
                  <c:v>вредносни писма</c:v>
                </c:pt>
                <c:pt idx="2">
                  <c:v>пакети</c:v>
                </c:pt>
                <c:pt idx="3">
                  <c:v>вредносни пакети</c:v>
                </c:pt>
                <c:pt idx="4">
                  <c:v>обични писма</c:v>
                </c:pt>
              </c:strCache>
            </c:strRef>
          </c:cat>
          <c:val>
            <c:numRef>
              <c:f>Sheet1!$B$2:$B$6</c:f>
              <c:numCache>
                <c:formatCode>General</c:formatCode>
                <c:ptCount val="5"/>
                <c:pt idx="0">
                  <c:v>3895</c:v>
                </c:pt>
                <c:pt idx="1">
                  <c:v>13</c:v>
                </c:pt>
                <c:pt idx="2">
                  <c:v>132</c:v>
                </c:pt>
                <c:pt idx="3">
                  <c:v>43</c:v>
                </c:pt>
                <c:pt idx="4">
                  <c:v>33</c:v>
                </c:pt>
              </c:numCache>
            </c:numRef>
          </c:val>
        </c:ser>
        <c:ser>
          <c:idx val="1"/>
          <c:order val="1"/>
          <c:tx>
            <c:strRef>
              <c:f>Sheet1!$C$1</c:f>
              <c:strCache>
                <c:ptCount val="1"/>
                <c:pt idx="0">
                  <c:v>Негативно </c:v>
                </c:pt>
              </c:strCache>
            </c:strRef>
          </c:tx>
          <c:spPr>
            <a:solidFill>
              <a:srgbClr val="E6146E"/>
            </a:solidFill>
          </c:spPr>
          <c:invertIfNegative val="0"/>
          <c:dLbls>
            <c:dLbl>
              <c:idx val="1"/>
              <c:layout>
                <c:manualLayout>
                  <c:x val="0"/>
                  <c:y val="-6.6298342541436461E-2"/>
                </c:manualLayout>
              </c:layout>
              <c:showLegendKey val="0"/>
              <c:showVal val="1"/>
              <c:showCatName val="0"/>
              <c:showSerName val="0"/>
              <c:showPercent val="0"/>
              <c:showBubbleSize val="0"/>
            </c:dLbl>
            <c:txPr>
              <a:bodyPr/>
              <a:lstStyle/>
              <a:p>
                <a:pPr>
                  <a:defRPr sz="1200">
                    <a:solidFill>
                      <a:schemeClr val="bg1"/>
                    </a:solidFill>
                  </a:defRPr>
                </a:pPr>
                <a:endParaRPr lang="mk-MK"/>
              </a:p>
            </c:txPr>
            <c:showLegendKey val="0"/>
            <c:showVal val="1"/>
            <c:showCatName val="0"/>
            <c:showSerName val="0"/>
            <c:showPercent val="0"/>
            <c:showBubbleSize val="0"/>
            <c:showLeaderLines val="0"/>
          </c:dLbls>
          <c:cat>
            <c:strRef>
              <c:f>Sheet1!$A$2:$A$6</c:f>
              <c:strCache>
                <c:ptCount val="5"/>
                <c:pt idx="0">
                  <c:v>препорачани писма</c:v>
                </c:pt>
                <c:pt idx="1">
                  <c:v>вредносни писма</c:v>
                </c:pt>
                <c:pt idx="2">
                  <c:v>пакети</c:v>
                </c:pt>
                <c:pt idx="3">
                  <c:v>вредносни пакети</c:v>
                </c:pt>
                <c:pt idx="4">
                  <c:v>обични писма</c:v>
                </c:pt>
              </c:strCache>
            </c:strRef>
          </c:cat>
          <c:val>
            <c:numRef>
              <c:f>Sheet1!$C$2:$C$6</c:f>
              <c:numCache>
                <c:formatCode>General</c:formatCode>
                <c:ptCount val="5"/>
                <c:pt idx="0">
                  <c:v>649</c:v>
                </c:pt>
                <c:pt idx="1">
                  <c:v>0</c:v>
                </c:pt>
                <c:pt idx="2">
                  <c:v>30</c:v>
                </c:pt>
                <c:pt idx="3">
                  <c:v>9</c:v>
                </c:pt>
                <c:pt idx="4">
                  <c:v>4</c:v>
                </c:pt>
              </c:numCache>
            </c:numRef>
          </c:val>
        </c:ser>
        <c:dLbls>
          <c:showLegendKey val="0"/>
          <c:showVal val="0"/>
          <c:showCatName val="0"/>
          <c:showSerName val="0"/>
          <c:showPercent val="0"/>
          <c:showBubbleSize val="0"/>
        </c:dLbls>
        <c:gapWidth val="150"/>
        <c:overlap val="100"/>
        <c:axId val="196992000"/>
        <c:axId val="196997888"/>
      </c:barChart>
      <c:catAx>
        <c:axId val="196992000"/>
        <c:scaling>
          <c:orientation val="minMax"/>
        </c:scaling>
        <c:delete val="0"/>
        <c:axPos val="b"/>
        <c:majorTickMark val="out"/>
        <c:minorTickMark val="none"/>
        <c:tickLblPos val="nextTo"/>
        <c:crossAx val="196997888"/>
        <c:crosses val="autoZero"/>
        <c:auto val="1"/>
        <c:lblAlgn val="ctr"/>
        <c:lblOffset val="100"/>
        <c:noMultiLvlLbl val="0"/>
      </c:catAx>
      <c:valAx>
        <c:axId val="196997888"/>
        <c:scaling>
          <c:orientation val="minMax"/>
        </c:scaling>
        <c:delete val="0"/>
        <c:axPos val="l"/>
        <c:majorGridlines/>
        <c:numFmt formatCode="0%" sourceLinked="1"/>
        <c:majorTickMark val="out"/>
        <c:minorTickMark val="none"/>
        <c:tickLblPos val="nextTo"/>
        <c:crossAx val="196992000"/>
        <c:crosses val="autoZero"/>
        <c:crossBetween val="between"/>
      </c:valAx>
    </c:plotArea>
    <c:legend>
      <c:legendPos val="b"/>
      <c:layout>
        <c:manualLayout>
          <c:xMode val="edge"/>
          <c:yMode val="edge"/>
          <c:x val="0.31509491546114882"/>
          <c:y val="3.1427694054799435E-2"/>
          <c:w val="0.40907386576678201"/>
          <c:h val="7.3687487177310412E-2"/>
        </c:manualLayout>
      </c:layout>
      <c:overlay val="0"/>
    </c:legend>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04326782994359"/>
          <c:y val="9.1324200913242004E-2"/>
          <c:w val="0.80211427704043092"/>
          <c:h val="0.8092052668520664"/>
        </c:manualLayout>
      </c:layout>
      <c:barChart>
        <c:barDir val="bar"/>
        <c:grouping val="clustered"/>
        <c:varyColors val="0"/>
        <c:ser>
          <c:idx val="0"/>
          <c:order val="0"/>
          <c:tx>
            <c:strRef>
              <c:f>Sheet1!$B$1</c:f>
              <c:strCache>
                <c:ptCount val="1"/>
                <c:pt idx="0">
                  <c:v>Column1</c:v>
                </c:pt>
              </c:strCache>
            </c:strRef>
          </c:tx>
          <c:spPr>
            <a:gradFill>
              <a:gsLst>
                <a:gs pos="0">
                  <a:srgbClr val="000082"/>
                </a:gs>
                <a:gs pos="15000">
                  <a:srgbClr val="6B008D"/>
                </a:gs>
                <a:gs pos="3000">
                  <a:srgbClr val="66008F"/>
                </a:gs>
                <a:gs pos="85000">
                  <a:srgbClr val="BA0066"/>
                </a:gs>
                <a:gs pos="95000">
                  <a:srgbClr val="FF0000"/>
                </a:gs>
                <a:gs pos="100000">
                  <a:srgbClr val="FF8200"/>
                </a:gs>
              </a:gsLst>
              <a:lin ang="5400000" scaled="0"/>
            </a:gradFill>
          </c:spPr>
          <c:invertIfNegative val="0"/>
          <c:dPt>
            <c:idx val="0"/>
            <c:invertIfNegative val="0"/>
            <c:bubble3D val="0"/>
          </c:dPt>
          <c:dPt>
            <c:idx val="1"/>
            <c:invertIfNegative val="0"/>
            <c:bubble3D val="0"/>
          </c:dPt>
          <c:dPt>
            <c:idx val="2"/>
            <c:invertIfNegative val="0"/>
            <c:bubble3D val="0"/>
          </c:dPt>
          <c:dLbls>
            <c:numFmt formatCode="#,##0" sourceLinked="0"/>
            <c:txPr>
              <a:bodyPr/>
              <a:lstStyle/>
              <a:p>
                <a:pPr>
                  <a:defRPr sz="1100" b="1"/>
                </a:pPr>
                <a:endParaRPr lang="mk-MK"/>
              </a:p>
            </c:txPr>
            <c:showLegendKey val="0"/>
            <c:showVal val="1"/>
            <c:showCatName val="0"/>
            <c:showSerName val="0"/>
            <c:showPercent val="0"/>
            <c:showBubbleSize val="0"/>
            <c:showLeaderLines val="0"/>
          </c:dLbls>
          <c:cat>
            <c:strRef>
              <c:f>Sheet1!$A$2:$A$6</c:f>
              <c:strCache>
                <c:ptCount val="5"/>
                <c:pt idx="0">
                  <c:v>2010 година</c:v>
                </c:pt>
                <c:pt idx="1">
                  <c:v>2011 година</c:v>
                </c:pt>
                <c:pt idx="2">
                  <c:v>2012 година</c:v>
                </c:pt>
                <c:pt idx="3">
                  <c:v>2013 година</c:v>
                </c:pt>
                <c:pt idx="4">
                  <c:v>2014 година</c:v>
                </c:pt>
              </c:strCache>
            </c:strRef>
          </c:cat>
          <c:val>
            <c:numRef>
              <c:f>Sheet1!$B$2:$B$6</c:f>
              <c:numCache>
                <c:formatCode>General</c:formatCode>
                <c:ptCount val="5"/>
                <c:pt idx="0">
                  <c:v>3586</c:v>
                </c:pt>
                <c:pt idx="1">
                  <c:v>3978</c:v>
                </c:pt>
                <c:pt idx="2">
                  <c:v>4600</c:v>
                </c:pt>
                <c:pt idx="3">
                  <c:v>4050</c:v>
                </c:pt>
                <c:pt idx="4">
                  <c:v>4808</c:v>
                </c:pt>
              </c:numCache>
            </c:numRef>
          </c:val>
        </c:ser>
        <c:dLbls>
          <c:showLegendKey val="0"/>
          <c:showVal val="0"/>
          <c:showCatName val="0"/>
          <c:showSerName val="0"/>
          <c:showPercent val="0"/>
          <c:showBubbleSize val="0"/>
        </c:dLbls>
        <c:gapWidth val="150"/>
        <c:axId val="195420928"/>
        <c:axId val="195422464"/>
      </c:barChart>
      <c:catAx>
        <c:axId val="195420928"/>
        <c:scaling>
          <c:orientation val="minMax"/>
        </c:scaling>
        <c:delete val="0"/>
        <c:axPos val="l"/>
        <c:numFmt formatCode="General" sourceLinked="1"/>
        <c:majorTickMark val="out"/>
        <c:minorTickMark val="none"/>
        <c:tickLblPos val="nextTo"/>
        <c:txPr>
          <a:bodyPr/>
          <a:lstStyle/>
          <a:p>
            <a:pPr>
              <a:defRPr sz="1050" b="1"/>
            </a:pPr>
            <a:endParaRPr lang="mk-MK"/>
          </a:p>
        </c:txPr>
        <c:crossAx val="195422464"/>
        <c:crosses val="autoZero"/>
        <c:auto val="1"/>
        <c:lblAlgn val="ctr"/>
        <c:lblOffset val="100"/>
        <c:noMultiLvlLbl val="0"/>
      </c:catAx>
      <c:valAx>
        <c:axId val="195422464"/>
        <c:scaling>
          <c:orientation val="minMax"/>
        </c:scaling>
        <c:delete val="0"/>
        <c:axPos val="b"/>
        <c:majorGridlines/>
        <c:numFmt formatCode="General" sourceLinked="0"/>
        <c:majorTickMark val="out"/>
        <c:minorTickMark val="none"/>
        <c:tickLblPos val="nextTo"/>
        <c:crossAx val="195420928"/>
        <c:crosses val="autoZero"/>
        <c:crossBetween val="between"/>
      </c:valAx>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23368440699193602"/>
          <c:y val="0"/>
          <c:w val="0.59164356338905455"/>
          <c:h val="1"/>
        </c:manualLayout>
      </c:layout>
      <c:doughnutChart>
        <c:varyColors val="1"/>
        <c:ser>
          <c:idx val="0"/>
          <c:order val="0"/>
          <c:tx>
            <c:strRef>
              <c:f>Sheet1!$B$1</c:f>
              <c:strCache>
                <c:ptCount val="1"/>
                <c:pt idx="0">
                  <c:v>Column1</c:v>
                </c:pt>
              </c:strCache>
            </c:strRef>
          </c:tx>
          <c:spPr>
            <a:gradFill>
              <a:gsLst>
                <a:gs pos="0">
                  <a:srgbClr val="000082"/>
                </a:gs>
                <a:gs pos="15000">
                  <a:srgbClr val="6B008D"/>
                </a:gs>
                <a:gs pos="3000">
                  <a:srgbClr val="66008F"/>
                </a:gs>
                <a:gs pos="85000">
                  <a:srgbClr val="BA0066"/>
                </a:gs>
                <a:gs pos="95000">
                  <a:srgbClr val="FF0000"/>
                </a:gs>
                <a:gs pos="100000">
                  <a:srgbClr val="FF8200"/>
                </a:gs>
              </a:gsLst>
              <a:lin ang="5400000" scaled="0"/>
            </a:gradFill>
          </c:spPr>
          <c:dPt>
            <c:idx val="1"/>
            <c:bubble3D val="0"/>
            <c:spPr>
              <a:solidFill>
                <a:srgbClr val="E6146E"/>
              </a:solidFill>
            </c:spPr>
          </c:dPt>
          <c:dPt>
            <c:idx val="2"/>
            <c:bubble3D val="0"/>
            <c:explosion val="12"/>
          </c:dPt>
          <c:dLbls>
            <c:dLbl>
              <c:idx val="2"/>
              <c:layout>
                <c:manualLayout>
                  <c:x val="-6.4613892469276027E-2"/>
                  <c:y val="6.4257592800899934E-3"/>
                </c:manualLayout>
              </c:layout>
              <c:showLegendKey val="0"/>
              <c:showVal val="0"/>
              <c:showCatName val="1"/>
              <c:showSerName val="0"/>
              <c:showPercent val="1"/>
              <c:showBubbleSize val="0"/>
            </c:dLbl>
            <c:numFmt formatCode="0.0%" sourceLinked="0"/>
            <c:txPr>
              <a:bodyPr/>
              <a:lstStyle/>
              <a:p>
                <a:pPr>
                  <a:defRPr sz="1200">
                    <a:solidFill>
                      <a:schemeClr val="bg1"/>
                    </a:solidFill>
                  </a:defRPr>
                </a:pPr>
                <a:endParaRPr lang="mk-MK"/>
              </a:p>
            </c:txPr>
            <c:showLegendKey val="0"/>
            <c:showVal val="0"/>
            <c:showCatName val="1"/>
            <c:showSerName val="0"/>
            <c:showPercent val="1"/>
            <c:showBubbleSize val="0"/>
            <c:showLeaderLines val="1"/>
          </c:dLbls>
          <c:cat>
            <c:strRef>
              <c:f>Sheet1!$A$2:$A$3</c:f>
              <c:strCache>
                <c:ptCount val="2"/>
                <c:pt idx="0">
                  <c:v>Позитивно</c:v>
                </c:pt>
                <c:pt idx="1">
                  <c:v>Негативно</c:v>
                </c:pt>
              </c:strCache>
            </c:strRef>
          </c:cat>
          <c:val>
            <c:numRef>
              <c:f>Sheet1!$B$2:$B$3</c:f>
              <c:numCache>
                <c:formatCode>General</c:formatCode>
                <c:ptCount val="2"/>
                <c:pt idx="0">
                  <c:v>182</c:v>
                </c:pt>
                <c:pt idx="1">
                  <c:v>35</c:v>
                </c:pt>
              </c:numCache>
            </c:numRef>
          </c:val>
        </c:ser>
        <c:dLbls>
          <c:showLegendKey val="0"/>
          <c:showVal val="0"/>
          <c:showCatName val="0"/>
          <c:showSerName val="0"/>
          <c:showPercent val="0"/>
          <c:showBubbleSize val="0"/>
          <c:showLeaderLines val="1"/>
        </c:dLbls>
        <c:firstSliceAng val="160"/>
        <c:holeSize val="50"/>
      </c:doughnut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a:gsLst>
                <a:gs pos="3000">
                  <a:srgbClr val="DA105D"/>
                </a:gs>
                <a:gs pos="30000">
                  <a:srgbClr val="66008F"/>
                </a:gs>
                <a:gs pos="91000">
                  <a:srgbClr val="BA0066"/>
                </a:gs>
                <a:gs pos="95000">
                  <a:srgbClr val="FF0000"/>
                </a:gs>
                <a:gs pos="100000">
                  <a:srgbClr val="FF8200"/>
                </a:gs>
              </a:gsLst>
              <a:lin ang="8100000" scaled="0"/>
            </a:gradFill>
          </c:spPr>
          <c:invertIfNegative val="0"/>
          <c:dLbls>
            <c:txPr>
              <a:bodyPr/>
              <a:lstStyle/>
              <a:p>
                <a:pPr>
                  <a:defRPr sz="1100" b="0"/>
                </a:pPr>
                <a:endParaRPr lang="mk-MK"/>
              </a:p>
            </c:txPr>
            <c:showLegendKey val="0"/>
            <c:showVal val="1"/>
            <c:showCatName val="0"/>
            <c:showSerName val="0"/>
            <c:showPercent val="0"/>
            <c:showBubbleSize val="0"/>
            <c:showLeaderLines val="0"/>
          </c:dLbls>
          <c:cat>
            <c:strRef>
              <c:f>Sheet1!$A$2:$A$22</c:f>
              <c:strCache>
                <c:ptCount val="21"/>
                <c:pt idx="0">
                  <c:v>ТНТ Експрес</c:v>
                </c:pt>
                <c:pt idx="1">
                  <c:v>Визард Деливери</c:v>
                </c:pt>
                <c:pt idx="2">
                  <c:v>Делцо</c:v>
                </c:pt>
                <c:pt idx="3">
                  <c:v>РСЕ Оптима</c:v>
                </c:pt>
                <c:pt idx="4">
                  <c:v>ИН ТИМЕ МК БПС</c:v>
                </c:pt>
                <c:pt idx="5">
                  <c:v>Спиди Деливери </c:v>
                </c:pt>
                <c:pt idx="6">
                  <c:v>Скопје Велосипедист</c:v>
                </c:pt>
                <c:pt idx="7">
                  <c:v>Мерџаноски</c:v>
                </c:pt>
                <c:pt idx="8">
                  <c:v>ДРД Курир </c:v>
                </c:pt>
                <c:pt idx="9">
                  <c:v>Јокам пошта 2011</c:v>
                </c:pt>
                <c:pt idx="10">
                  <c:v>Карго Експрес</c:v>
                </c:pt>
                <c:pt idx="11">
                  <c:v>Глобко Логистик</c:v>
                </c:pt>
                <c:pt idx="12">
                  <c:v>ДХЛ </c:v>
                </c:pt>
                <c:pt idx="13">
                  <c:v>Деливеримен</c:v>
                </c:pt>
                <c:pt idx="14">
                  <c:v>Глобал Мессаге</c:v>
                </c:pt>
                <c:pt idx="15">
                  <c:v>ДМ компани</c:v>
                </c:pt>
                <c:pt idx="16">
                  <c:v>Екстра 03</c:v>
                </c:pt>
                <c:pt idx="17">
                  <c:v>Ин пошта</c:v>
                </c:pt>
                <c:pt idx="18">
                  <c:v>Казабланка</c:v>
                </c:pt>
                <c:pt idx="19">
                  <c:v>Прологис</c:v>
                </c:pt>
                <c:pt idx="20">
                  <c:v>Деливери Филип</c:v>
                </c:pt>
              </c:strCache>
            </c:strRef>
          </c:cat>
          <c:val>
            <c:numRef>
              <c:f>Sheet1!$B$2:$B$22</c:f>
              <c:numCache>
                <c:formatCode>General</c:formatCode>
                <c:ptCount val="21"/>
                <c:pt idx="0">
                  <c:v>20</c:v>
                </c:pt>
                <c:pt idx="1">
                  <c:v>3</c:v>
                </c:pt>
                <c:pt idx="2">
                  <c:v>120</c:v>
                </c:pt>
                <c:pt idx="3">
                  <c:v>16</c:v>
                </c:pt>
                <c:pt idx="4">
                  <c:v>19</c:v>
                </c:pt>
                <c:pt idx="5">
                  <c:v>10</c:v>
                </c:pt>
                <c:pt idx="6">
                  <c:v>7</c:v>
                </c:pt>
                <c:pt idx="7">
                  <c:v>4</c:v>
                </c:pt>
                <c:pt idx="8">
                  <c:v>11</c:v>
                </c:pt>
                <c:pt idx="9">
                  <c:v>3</c:v>
                </c:pt>
                <c:pt idx="10">
                  <c:v>86</c:v>
                </c:pt>
                <c:pt idx="11">
                  <c:v>159</c:v>
                </c:pt>
                <c:pt idx="12">
                  <c:v>52</c:v>
                </c:pt>
                <c:pt idx="13">
                  <c:v>4</c:v>
                </c:pt>
                <c:pt idx="14">
                  <c:v>1</c:v>
                </c:pt>
                <c:pt idx="15">
                  <c:v>3</c:v>
                </c:pt>
                <c:pt idx="16">
                  <c:v>2</c:v>
                </c:pt>
                <c:pt idx="17">
                  <c:v>4</c:v>
                </c:pt>
                <c:pt idx="18">
                  <c:v>3</c:v>
                </c:pt>
                <c:pt idx="19">
                  <c:v>3</c:v>
                </c:pt>
                <c:pt idx="20">
                  <c:v>2</c:v>
                </c:pt>
              </c:numCache>
            </c:numRef>
          </c:val>
        </c:ser>
        <c:dLbls>
          <c:showLegendKey val="0"/>
          <c:showVal val="0"/>
          <c:showCatName val="0"/>
          <c:showSerName val="0"/>
          <c:showPercent val="0"/>
          <c:showBubbleSize val="0"/>
        </c:dLbls>
        <c:gapWidth val="90"/>
        <c:overlap val="-13"/>
        <c:axId val="197937024"/>
        <c:axId val="197938560"/>
      </c:barChart>
      <c:catAx>
        <c:axId val="197937024"/>
        <c:scaling>
          <c:orientation val="minMax"/>
        </c:scaling>
        <c:delete val="0"/>
        <c:axPos val="b"/>
        <c:majorTickMark val="out"/>
        <c:minorTickMark val="none"/>
        <c:tickLblPos val="nextTo"/>
        <c:crossAx val="197938560"/>
        <c:crosses val="autoZero"/>
        <c:auto val="1"/>
        <c:lblAlgn val="ctr"/>
        <c:lblOffset val="100"/>
        <c:noMultiLvlLbl val="0"/>
      </c:catAx>
      <c:valAx>
        <c:axId val="197938560"/>
        <c:scaling>
          <c:orientation val="minMax"/>
        </c:scaling>
        <c:delete val="0"/>
        <c:axPos val="l"/>
        <c:majorGridlines/>
        <c:numFmt formatCode="General" sourceLinked="1"/>
        <c:majorTickMark val="out"/>
        <c:minorTickMark val="none"/>
        <c:tickLblPos val="nextTo"/>
        <c:crossAx val="197937024"/>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7.9113168999788361E-2"/>
          <c:y val="2.3537766112569272E-2"/>
          <c:w val="0.86271897581644863"/>
          <c:h val="0.87790667833187519"/>
        </c:manualLayout>
      </c:layout>
      <c:barChart>
        <c:barDir val="bar"/>
        <c:grouping val="clustered"/>
        <c:varyColors val="0"/>
        <c:ser>
          <c:idx val="0"/>
          <c:order val="0"/>
          <c:tx>
            <c:strRef>
              <c:f>Sheet1!$B$1</c:f>
              <c:strCache>
                <c:ptCount val="1"/>
                <c:pt idx="0">
                  <c:v>Вкупен обем-Македонска пошта (2008/2012)</c:v>
                </c:pt>
              </c:strCache>
            </c:strRef>
          </c:tx>
          <c:spPr>
            <a:gradFill>
              <a:gsLst>
                <a:gs pos="3000">
                  <a:srgbClr val="DA105D"/>
                </a:gs>
                <a:gs pos="58000">
                  <a:srgbClr val="66008F"/>
                </a:gs>
                <a:gs pos="30000">
                  <a:srgbClr val="BA0066"/>
                </a:gs>
                <a:gs pos="95000">
                  <a:srgbClr val="E7779F"/>
                </a:gs>
                <a:gs pos="100000">
                  <a:srgbClr val="7030A0"/>
                </a:gs>
              </a:gsLst>
              <a:lin ang="8100000" scaled="0"/>
            </a:gradFill>
          </c:spPr>
          <c:invertIfNegative val="0"/>
          <c:dLbls>
            <c:numFmt formatCode="#,##0" sourceLinked="0"/>
            <c:txPr>
              <a:bodyPr/>
              <a:lstStyle/>
              <a:p>
                <a:pPr>
                  <a:defRPr sz="1100"/>
                </a:pPr>
                <a:endParaRPr lang="mk-MK"/>
              </a:p>
            </c:txPr>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44638685</c:v>
                </c:pt>
                <c:pt idx="1">
                  <c:v>53382797</c:v>
                </c:pt>
                <c:pt idx="2">
                  <c:v>51593521</c:v>
                </c:pt>
                <c:pt idx="3">
                  <c:v>48523908</c:v>
                </c:pt>
                <c:pt idx="4">
                  <c:v>46843550</c:v>
                </c:pt>
              </c:numCache>
            </c:numRef>
          </c:val>
        </c:ser>
        <c:dLbls>
          <c:showLegendKey val="0"/>
          <c:showVal val="0"/>
          <c:showCatName val="0"/>
          <c:showSerName val="0"/>
          <c:showPercent val="0"/>
          <c:showBubbleSize val="0"/>
        </c:dLbls>
        <c:gapWidth val="117"/>
        <c:overlap val="-9"/>
        <c:axId val="200530944"/>
        <c:axId val="211656704"/>
      </c:barChart>
      <c:catAx>
        <c:axId val="200530944"/>
        <c:scaling>
          <c:orientation val="minMax"/>
        </c:scaling>
        <c:delete val="0"/>
        <c:axPos val="l"/>
        <c:numFmt formatCode="General" sourceLinked="1"/>
        <c:majorTickMark val="out"/>
        <c:minorTickMark val="none"/>
        <c:tickLblPos val="nextTo"/>
        <c:txPr>
          <a:bodyPr/>
          <a:lstStyle/>
          <a:p>
            <a:pPr>
              <a:defRPr sz="1100" b="1"/>
            </a:pPr>
            <a:endParaRPr lang="mk-MK"/>
          </a:p>
        </c:txPr>
        <c:crossAx val="211656704"/>
        <c:crosses val="autoZero"/>
        <c:auto val="1"/>
        <c:lblAlgn val="ctr"/>
        <c:lblOffset val="100"/>
        <c:noMultiLvlLbl val="0"/>
      </c:catAx>
      <c:valAx>
        <c:axId val="211656704"/>
        <c:scaling>
          <c:orientation val="minMax"/>
        </c:scaling>
        <c:delete val="0"/>
        <c:axPos val="b"/>
        <c:majorGridlines/>
        <c:numFmt formatCode="#,##0" sourceLinked="0"/>
        <c:majorTickMark val="out"/>
        <c:minorTickMark val="none"/>
        <c:tickLblPos val="nextTo"/>
        <c:crossAx val="200530944"/>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22169363900602473"/>
          <c:y val="3.1055358767833104E-2"/>
          <c:w val="0.54836536428207139"/>
          <c:h val="0.96894464123216695"/>
        </c:manualLayout>
      </c:layout>
      <c:pieChart>
        <c:varyColors val="1"/>
        <c:ser>
          <c:idx val="0"/>
          <c:order val="0"/>
          <c:tx>
            <c:strRef>
              <c:f>Sheet1!$B$1</c:f>
              <c:strCache>
                <c:ptCount val="1"/>
                <c:pt idx="0">
                  <c:v>Вкупен обем на писмоносни услуги - Македонска пошта</c:v>
                </c:pt>
              </c:strCache>
            </c:strRef>
          </c:tx>
          <c:spPr>
            <a:gradFill>
              <a:gsLst>
                <a:gs pos="3000">
                  <a:srgbClr val="DA105D"/>
                </a:gs>
                <a:gs pos="58000">
                  <a:srgbClr val="66008F"/>
                </a:gs>
                <a:gs pos="30000">
                  <a:srgbClr val="BA0066"/>
                </a:gs>
                <a:gs pos="95000">
                  <a:srgbClr val="E7779F"/>
                </a:gs>
                <a:gs pos="100000">
                  <a:srgbClr val="7030A0"/>
                </a:gs>
              </a:gsLst>
              <a:lin ang="8100000" scaled="0"/>
            </a:gradFill>
          </c:spPr>
          <c:dPt>
            <c:idx val="1"/>
            <c:bubble3D val="0"/>
            <c:spPr>
              <a:solidFill>
                <a:srgbClr val="DA105D"/>
              </a:solidFill>
            </c:spPr>
          </c:dPt>
          <c:dPt>
            <c:idx val="2"/>
            <c:bubble3D val="0"/>
            <c:spPr>
              <a:solidFill>
                <a:srgbClr val="E7779F"/>
              </a:solidFill>
            </c:spPr>
          </c:dPt>
          <c:dPt>
            <c:idx val="3"/>
            <c:bubble3D val="0"/>
          </c:dPt>
          <c:dPt>
            <c:idx val="4"/>
            <c:bubble3D val="0"/>
          </c:dPt>
          <c:dPt>
            <c:idx val="5"/>
            <c:bubble3D val="0"/>
          </c:dPt>
          <c:dLbls>
            <c:dLbl>
              <c:idx val="0"/>
              <c:layout>
                <c:manualLayout>
                  <c:x val="7.5716601775488959E-2"/>
                  <c:y val="0.23463243312350998"/>
                </c:manualLayout>
              </c:layout>
              <c:tx>
                <c:rich>
                  <a:bodyPr/>
                  <a:lstStyle/>
                  <a:p>
                    <a:pPr>
                      <a:defRPr sz="1400" b="1"/>
                    </a:pPr>
                    <a:r>
                      <a:rPr lang="mk-MK" sz="1400" b="1"/>
                      <a:t>Обични писма
8</a:t>
                    </a:r>
                    <a:r>
                      <a:rPr lang="en-US" sz="1400" b="1"/>
                      <a:t>6.7</a:t>
                    </a:r>
                    <a:r>
                      <a:rPr lang="mk-MK" sz="1400" b="1"/>
                      <a:t>%</a:t>
                    </a:r>
                    <a:endParaRPr lang="mk-MK" b="1"/>
                  </a:p>
                </c:rich>
              </c:tx>
              <c:numFmt formatCode="0.0%" sourceLinked="0"/>
              <c:spPr/>
              <c:dLblPos val="bestFit"/>
              <c:showLegendKey val="0"/>
              <c:showVal val="0"/>
              <c:showCatName val="1"/>
              <c:showSerName val="0"/>
              <c:showPercent val="1"/>
              <c:showBubbleSize val="0"/>
            </c:dLbl>
            <c:dLbl>
              <c:idx val="1"/>
              <c:layout>
                <c:manualLayout>
                  <c:x val="-2.8305656105782985E-2"/>
                  <c:y val="-1.6809933142311365E-3"/>
                </c:manualLayout>
              </c:layout>
              <c:tx>
                <c:rich>
                  <a:bodyPr/>
                  <a:lstStyle/>
                  <a:p>
                    <a:pPr>
                      <a:defRPr sz="1400" b="1"/>
                    </a:pPr>
                    <a:r>
                      <a:rPr lang="mk-MK" sz="1400" b="1"/>
                      <a:t>Препорачани писма
1</a:t>
                    </a:r>
                    <a:r>
                      <a:rPr lang="en-US" sz="1400" b="1"/>
                      <a:t>2.6</a:t>
                    </a:r>
                    <a:r>
                      <a:rPr lang="mk-MK" sz="1400" b="1"/>
                      <a:t>%</a:t>
                    </a:r>
                    <a:endParaRPr lang="mk-MK" b="1"/>
                  </a:p>
                </c:rich>
              </c:tx>
              <c:numFmt formatCode="0.0%" sourceLinked="0"/>
              <c:spPr/>
              <c:dLblPos val="bestFit"/>
              <c:showLegendKey val="0"/>
              <c:showVal val="0"/>
              <c:showCatName val="1"/>
              <c:showSerName val="0"/>
              <c:showPercent val="1"/>
              <c:showBubbleSize val="0"/>
            </c:dLbl>
            <c:dLbl>
              <c:idx val="2"/>
              <c:layout>
                <c:manualLayout>
                  <c:x val="6.9030778735596446E-2"/>
                  <c:y val="-0.20255849107686755"/>
                </c:manualLayout>
              </c:layout>
              <c:numFmt formatCode="0.0%" sourceLinked="0"/>
              <c:spPr/>
              <c:txPr>
                <a:bodyPr/>
                <a:lstStyle/>
                <a:p>
                  <a:pPr>
                    <a:defRPr sz="1400" b="1"/>
                  </a:pPr>
                  <a:endParaRPr lang="mk-MK"/>
                </a:p>
              </c:txPr>
              <c:dLblPos val="bestFit"/>
              <c:showLegendKey val="0"/>
              <c:showVal val="0"/>
              <c:showCatName val="1"/>
              <c:showSerName val="0"/>
              <c:showPercent val="1"/>
              <c:showBubbleSize val="0"/>
            </c:dLbl>
            <c:dLbl>
              <c:idx val="3"/>
              <c:layout>
                <c:manualLayout>
                  <c:x val="-3.6507241548329031E-2"/>
                  <c:y val="-9.9019164496561618E-2"/>
                </c:manualLayout>
              </c:layout>
              <c:dLblPos val="bestFit"/>
              <c:showLegendKey val="0"/>
              <c:showVal val="0"/>
              <c:showCatName val="1"/>
              <c:showSerName val="0"/>
              <c:showPercent val="1"/>
              <c:showBubbleSize val="0"/>
            </c:dLbl>
            <c:numFmt formatCode="0.0%" sourceLinked="0"/>
            <c:txPr>
              <a:bodyPr/>
              <a:lstStyle/>
              <a:p>
                <a:pPr>
                  <a:defRPr sz="1400"/>
                </a:pPr>
                <a:endParaRPr lang="mk-MK"/>
              </a:p>
            </c:txPr>
            <c:dLblPos val="bestFit"/>
            <c:showLegendKey val="0"/>
            <c:showVal val="0"/>
            <c:showCatName val="1"/>
            <c:showSerName val="0"/>
            <c:showPercent val="1"/>
            <c:showBubbleSize val="0"/>
            <c:showLeaderLines val="1"/>
          </c:dLbls>
          <c:cat>
            <c:strRef>
              <c:f>Sheet1!$A$2:$A$4</c:f>
              <c:strCache>
                <c:ptCount val="3"/>
                <c:pt idx="0">
                  <c:v>Обични писма</c:v>
                </c:pt>
                <c:pt idx="1">
                  <c:v>Препорачани писма</c:v>
                </c:pt>
                <c:pt idx="2">
                  <c:v>Вредносни писма</c:v>
                </c:pt>
              </c:strCache>
            </c:strRef>
          </c:cat>
          <c:val>
            <c:numRef>
              <c:f>Sheet1!$B$2:$B$4</c:f>
              <c:numCache>
                <c:formatCode>General</c:formatCode>
                <c:ptCount val="3"/>
                <c:pt idx="0">
                  <c:v>38764822</c:v>
                </c:pt>
                <c:pt idx="1">
                  <c:v>5319638</c:v>
                </c:pt>
                <c:pt idx="2">
                  <c:v>288654</c:v>
                </c:pt>
              </c:numCache>
            </c:numRef>
          </c:val>
        </c:ser>
        <c:dLbls>
          <c:showLegendKey val="0"/>
          <c:showVal val="0"/>
          <c:showCatName val="0"/>
          <c:showSerName val="0"/>
          <c:showPercent val="0"/>
          <c:showBubbleSize val="0"/>
          <c:showLeaderLines val="1"/>
        </c:dLbls>
        <c:firstSliceAng val="196"/>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manualLayout>
          <c:layoutTarget val="inner"/>
          <c:xMode val="edge"/>
          <c:yMode val="edge"/>
          <c:x val="0.23320527609208086"/>
          <c:y val="1.5522889667120223E-2"/>
          <c:w val="0.53351889930956087"/>
          <c:h val="0.94914976987649913"/>
        </c:manualLayout>
      </c:layout>
      <c:pieChart>
        <c:varyColors val="1"/>
        <c:ser>
          <c:idx val="0"/>
          <c:order val="0"/>
          <c:tx>
            <c:strRef>
              <c:f>Sheet1!$B$1</c:f>
              <c:strCache>
                <c:ptCount val="1"/>
                <c:pt idx="0">
                  <c:v>Column1</c:v>
                </c:pt>
              </c:strCache>
            </c:strRef>
          </c:tx>
          <c:spPr>
            <a:effectLst>
              <a:glow rad="63500">
                <a:schemeClr val="accent4">
                  <a:satMod val="175000"/>
                  <a:alpha val="40000"/>
                </a:schemeClr>
              </a:glow>
              <a:innerShdw blurRad="63500" dist="50800" dir="13500000">
                <a:schemeClr val="accent4">
                  <a:lumMod val="50000"/>
                  <a:alpha val="50000"/>
                </a:schemeClr>
              </a:innerShdw>
            </a:effectLst>
          </c:spPr>
          <c:dPt>
            <c:idx val="0"/>
            <c:bubble3D val="0"/>
            <c:spPr>
              <a:gradFill>
                <a:gsLst>
                  <a:gs pos="3000">
                    <a:srgbClr val="DA105D"/>
                  </a:gs>
                  <a:gs pos="58000">
                    <a:srgbClr val="66008F"/>
                  </a:gs>
                  <a:gs pos="30000">
                    <a:srgbClr val="BA0066"/>
                  </a:gs>
                  <a:gs pos="95000">
                    <a:srgbClr val="E7779F"/>
                  </a:gs>
                  <a:gs pos="100000">
                    <a:srgbClr val="7030A0"/>
                  </a:gs>
                </a:gsLst>
                <a:lin ang="8100000" scaled="0"/>
              </a:gradFill>
              <a:effectLst>
                <a:glow rad="63500">
                  <a:schemeClr val="accent4">
                    <a:satMod val="175000"/>
                    <a:alpha val="40000"/>
                  </a:schemeClr>
                </a:glow>
                <a:innerShdw blurRad="63500" dist="50800" dir="13500000">
                  <a:schemeClr val="accent4">
                    <a:lumMod val="50000"/>
                    <a:alpha val="50000"/>
                  </a:schemeClr>
                </a:innerShdw>
              </a:effectLst>
            </c:spPr>
          </c:dPt>
          <c:dPt>
            <c:idx val="1"/>
            <c:bubble3D val="0"/>
            <c:spPr>
              <a:solidFill>
                <a:srgbClr val="DA105D"/>
              </a:solidFill>
              <a:effectLst>
                <a:glow rad="63500">
                  <a:schemeClr val="accent4">
                    <a:satMod val="175000"/>
                    <a:alpha val="40000"/>
                  </a:schemeClr>
                </a:glow>
                <a:innerShdw blurRad="63500" dist="50800" dir="13500000">
                  <a:schemeClr val="accent4">
                    <a:lumMod val="50000"/>
                    <a:alpha val="50000"/>
                  </a:schemeClr>
                </a:innerShdw>
              </a:effectLst>
            </c:spPr>
          </c:dPt>
          <c:dPt>
            <c:idx val="2"/>
            <c:bubble3D val="0"/>
          </c:dPt>
          <c:dPt>
            <c:idx val="3"/>
            <c:bubble3D val="0"/>
            <c:spPr>
              <a:solidFill>
                <a:srgbClr val="E7779F"/>
              </a:solidFill>
              <a:effectLst>
                <a:glow rad="63500">
                  <a:schemeClr val="accent4">
                    <a:satMod val="175000"/>
                    <a:alpha val="40000"/>
                  </a:schemeClr>
                </a:glow>
                <a:innerShdw blurRad="63500" dist="50800" dir="13500000">
                  <a:schemeClr val="accent4">
                    <a:lumMod val="50000"/>
                    <a:alpha val="50000"/>
                  </a:schemeClr>
                </a:innerShdw>
              </a:effectLst>
            </c:spPr>
          </c:dPt>
          <c:dPt>
            <c:idx val="4"/>
            <c:bubble3D val="0"/>
          </c:dPt>
          <c:dPt>
            <c:idx val="5"/>
            <c:bubble3D val="0"/>
            <c:spPr>
              <a:solidFill>
                <a:schemeClr val="bg1"/>
              </a:solidFill>
              <a:effectLst>
                <a:glow rad="63500">
                  <a:schemeClr val="accent4">
                    <a:satMod val="175000"/>
                    <a:alpha val="40000"/>
                  </a:schemeClr>
                </a:glow>
                <a:innerShdw blurRad="63500" dist="50800" dir="13500000">
                  <a:schemeClr val="accent4">
                    <a:lumMod val="50000"/>
                    <a:alpha val="50000"/>
                  </a:schemeClr>
                </a:innerShdw>
              </a:effectLst>
            </c:spPr>
          </c:dPt>
          <c:dLbls>
            <c:dLbl>
              <c:idx val="0"/>
              <c:layout>
                <c:manualLayout>
                  <c:x val="9.4357383448836457E-2"/>
                  <c:y val="0.165749471005114"/>
                </c:manualLayout>
              </c:layout>
              <c:dLblPos val="bestFit"/>
              <c:showLegendKey val="0"/>
              <c:showVal val="0"/>
              <c:showCatName val="1"/>
              <c:showSerName val="0"/>
              <c:showPercent val="1"/>
              <c:showBubbleSize val="0"/>
            </c:dLbl>
            <c:dLbl>
              <c:idx val="1"/>
              <c:layout>
                <c:manualLayout>
                  <c:x val="-9.3311401404876079E-2"/>
                  <c:y val="-0.25944953344718896"/>
                </c:manualLayout>
              </c:layout>
              <c:dLblPos val="bestFit"/>
              <c:showLegendKey val="0"/>
              <c:showVal val="0"/>
              <c:showCatName val="1"/>
              <c:showSerName val="0"/>
              <c:showPercent val="1"/>
              <c:showBubbleSize val="0"/>
            </c:dLbl>
            <c:dLbl>
              <c:idx val="2"/>
              <c:layout>
                <c:manualLayout>
                  <c:x val="-4.1356136215457149E-3"/>
                  <c:y val="-2.4759652918739266E-3"/>
                </c:manualLayout>
              </c:layout>
              <c:dLblPos val="bestFit"/>
              <c:showLegendKey val="0"/>
              <c:showVal val="0"/>
              <c:showCatName val="1"/>
              <c:showSerName val="0"/>
              <c:showPercent val="1"/>
              <c:showBubbleSize val="0"/>
            </c:dLbl>
            <c:dLbl>
              <c:idx val="3"/>
              <c:layout>
                <c:manualLayout>
                  <c:x val="2.2476219135028504E-2"/>
                  <c:y val="-0.18451398957566564"/>
                </c:manualLayout>
              </c:layout>
              <c:dLblPos val="bestFit"/>
              <c:showLegendKey val="0"/>
              <c:showVal val="0"/>
              <c:showCatName val="1"/>
              <c:showSerName val="0"/>
              <c:showPercent val="1"/>
              <c:showBubbleSize val="0"/>
            </c:dLbl>
            <c:dLbl>
              <c:idx val="4"/>
              <c:layout>
                <c:manualLayout>
                  <c:x val="1.5740675727635958E-2"/>
                  <c:y val="-7.2449867279337956E-4"/>
                </c:manualLayout>
              </c:layout>
              <c:dLblPos val="bestFit"/>
              <c:showLegendKey val="0"/>
              <c:showVal val="0"/>
              <c:showCatName val="1"/>
              <c:showSerName val="0"/>
              <c:showPercent val="1"/>
              <c:showBubbleSize val="0"/>
            </c:dLbl>
            <c:dLbl>
              <c:idx val="5"/>
              <c:layout>
                <c:manualLayout>
                  <c:x val="1.5235596706024361E-2"/>
                  <c:y val="-0.11510223618562314"/>
                </c:manualLayout>
              </c:layout>
              <c:dLblPos val="bestFit"/>
              <c:showLegendKey val="0"/>
              <c:showVal val="0"/>
              <c:showCatName val="1"/>
              <c:showSerName val="0"/>
              <c:showPercent val="1"/>
              <c:showBubbleSize val="0"/>
            </c:dLbl>
            <c:numFmt formatCode="0.0%" sourceLinked="0"/>
            <c:txPr>
              <a:bodyPr/>
              <a:lstStyle/>
              <a:p>
                <a:pPr>
                  <a:defRPr sz="1200" b="1">
                    <a:solidFill>
                      <a:sysClr val="windowText" lastClr="000000"/>
                    </a:solidFill>
                  </a:defRPr>
                </a:pPr>
                <a:endParaRPr lang="mk-MK"/>
              </a:p>
            </c:txPr>
            <c:dLblPos val="bestFit"/>
            <c:showLegendKey val="0"/>
            <c:showVal val="0"/>
            <c:showCatName val="1"/>
            <c:showSerName val="0"/>
            <c:showPercent val="1"/>
            <c:showBubbleSize val="0"/>
            <c:showLeaderLines val="1"/>
          </c:dLbls>
          <c:cat>
            <c:strRef>
              <c:f>Sheet1!$A$2:$A$7</c:f>
              <c:strCache>
                <c:ptCount val="6"/>
                <c:pt idx="0">
                  <c:v>Обично писмо</c:v>
                </c:pt>
                <c:pt idx="1">
                  <c:v>Препорачани писма</c:v>
                </c:pt>
                <c:pt idx="2">
                  <c:v>Вредносни писма</c:v>
                </c:pt>
                <c:pt idx="3">
                  <c:v>Печатени работи</c:v>
                </c:pt>
                <c:pt idx="4">
                  <c:v>Пакети</c:v>
                </c:pt>
                <c:pt idx="5">
                  <c:v>Директна пошта</c:v>
                </c:pt>
              </c:strCache>
            </c:strRef>
          </c:cat>
          <c:val>
            <c:numRef>
              <c:f>Sheet1!$B$2:$B$7</c:f>
              <c:numCache>
                <c:formatCode>General</c:formatCode>
                <c:ptCount val="6"/>
                <c:pt idx="0">
                  <c:v>38764822</c:v>
                </c:pt>
                <c:pt idx="1">
                  <c:v>5319638</c:v>
                </c:pt>
                <c:pt idx="2">
                  <c:v>288654</c:v>
                </c:pt>
                <c:pt idx="3">
                  <c:v>2032758</c:v>
                </c:pt>
                <c:pt idx="4">
                  <c:v>116012</c:v>
                </c:pt>
                <c:pt idx="5">
                  <c:v>341666</c:v>
                </c:pt>
              </c:numCache>
            </c:numRef>
          </c:val>
        </c:ser>
        <c:dLbls>
          <c:showLegendKey val="0"/>
          <c:showVal val="0"/>
          <c:showCatName val="0"/>
          <c:showSerName val="0"/>
          <c:showPercent val="0"/>
          <c:showBubbleSize val="0"/>
          <c:showLeaderLines val="1"/>
        </c:dLbls>
        <c:firstSliceAng val="196"/>
      </c:pieChart>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view3D>
      <c:rotX val="0"/>
      <c:rotY val="0"/>
      <c:depthPercent val="100"/>
      <c:rAngAx val="0"/>
      <c:perspective val="0"/>
    </c:view3D>
    <c:floor>
      <c:thickness val="0"/>
    </c:floor>
    <c:sideWall>
      <c:thickness val="0"/>
    </c:sideWall>
    <c:backWall>
      <c:thickness val="0"/>
    </c:backWall>
    <c:plotArea>
      <c:layout>
        <c:manualLayout>
          <c:layoutTarget val="inner"/>
          <c:xMode val="edge"/>
          <c:yMode val="edge"/>
          <c:x val="4.9262306841869843E-2"/>
          <c:y val="7.6249550438848207E-2"/>
          <c:w val="0.91391025478728338"/>
          <c:h val="0.83938813770727638"/>
        </c:manualLayout>
      </c:layout>
      <c:bar3DChart>
        <c:barDir val="bar"/>
        <c:grouping val="percentStacked"/>
        <c:varyColors val="0"/>
        <c:ser>
          <c:idx val="0"/>
          <c:order val="0"/>
          <c:tx>
            <c:strRef>
              <c:f>Sheet1!$B$1</c:f>
              <c:strCache>
                <c:ptCount val="1"/>
                <c:pt idx="0">
                  <c:v>Пратки за коресподенција</c:v>
                </c:pt>
              </c:strCache>
            </c:strRef>
          </c:tx>
          <c:spPr>
            <a:gradFill>
              <a:gsLst>
                <a:gs pos="3000">
                  <a:srgbClr val="DA105D"/>
                </a:gs>
                <a:gs pos="58000">
                  <a:srgbClr val="66008F"/>
                </a:gs>
                <a:gs pos="30000">
                  <a:srgbClr val="BA0066"/>
                </a:gs>
                <a:gs pos="95000">
                  <a:srgbClr val="E7779F"/>
                </a:gs>
                <a:gs pos="100000">
                  <a:srgbClr val="7030A0"/>
                </a:gs>
              </a:gsLst>
              <a:lin ang="8100000" scaled="0"/>
            </a:gradFill>
          </c:spPr>
          <c:invertIfNegative val="0"/>
          <c:dLbls>
            <c:dLbl>
              <c:idx val="0"/>
              <c:layout>
                <c:manualLayout>
                  <c:x val="-5.7613699198833399E-2"/>
                  <c:y val="-0.1672487438261302"/>
                </c:manualLayout>
              </c:layout>
              <c:showLegendKey val="0"/>
              <c:showVal val="0"/>
              <c:showCatName val="0"/>
              <c:showSerName val="1"/>
              <c:showPercent val="0"/>
              <c:showBubbleSize val="0"/>
            </c:dLbl>
            <c:dLbl>
              <c:idx val="1"/>
              <c:layout>
                <c:manualLayout>
                  <c:x val="4.4305751549392654E-3"/>
                  <c:y val="-0.17142962496189171"/>
                </c:manualLayout>
              </c:layout>
              <c:showLegendKey val="0"/>
              <c:showVal val="0"/>
              <c:showCatName val="0"/>
              <c:showSerName val="1"/>
              <c:showPercent val="0"/>
              <c:showBubbleSize val="0"/>
            </c:dLbl>
            <c:txPr>
              <a:bodyPr/>
              <a:lstStyle/>
              <a:p>
                <a:pPr>
                  <a:defRPr sz="1100"/>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Надворешен сообраќај</c:v>
                </c:pt>
              </c:strCache>
            </c:strRef>
          </c:cat>
          <c:val>
            <c:numRef>
              <c:f>Sheet1!$B$2:$B$3</c:f>
              <c:numCache>
                <c:formatCode>General</c:formatCode>
                <c:ptCount val="2"/>
                <c:pt idx="0">
                  <c:v>41771154</c:v>
                </c:pt>
                <c:pt idx="1">
                  <c:v>2601960</c:v>
                </c:pt>
              </c:numCache>
            </c:numRef>
          </c:val>
        </c:ser>
        <c:ser>
          <c:idx val="1"/>
          <c:order val="1"/>
          <c:tx>
            <c:strRef>
              <c:f>Sheet1!$C$1</c:f>
              <c:strCache>
                <c:ptCount val="1"/>
                <c:pt idx="0">
                  <c:v>Пакети</c:v>
                </c:pt>
              </c:strCache>
            </c:strRef>
          </c:tx>
          <c:spPr>
            <a:solidFill>
              <a:srgbClr val="7030A0"/>
            </a:solidFill>
          </c:spPr>
          <c:invertIfNegative val="0"/>
          <c:dLbls>
            <c:dLbl>
              <c:idx val="0"/>
              <c:layout>
                <c:manualLayout>
                  <c:x val="-1.0638445113974901E-2"/>
                  <c:y val="-0.14232888023828483"/>
                </c:manualLayout>
              </c:layout>
              <c:showLegendKey val="0"/>
              <c:showVal val="0"/>
              <c:showCatName val="0"/>
              <c:showSerName val="1"/>
              <c:showPercent val="0"/>
              <c:showBubbleSize val="0"/>
            </c:dLbl>
            <c:dLbl>
              <c:idx val="1"/>
              <c:layout>
                <c:manualLayout>
                  <c:x val="-1.3076773763408191E-2"/>
                  <c:y val="-0.11943112448022648"/>
                </c:manualLayout>
              </c:layout>
              <c:showLegendKey val="0"/>
              <c:showVal val="0"/>
              <c:showCatName val="0"/>
              <c:showSerName val="1"/>
              <c:showPercent val="0"/>
              <c:showBubbleSize val="0"/>
            </c:dLbl>
            <c:txPr>
              <a:bodyPr/>
              <a:lstStyle/>
              <a:p>
                <a:pPr>
                  <a:defRPr sz="1100"/>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Надворешен сообраќај</c:v>
                </c:pt>
              </c:strCache>
            </c:strRef>
          </c:cat>
          <c:val>
            <c:numRef>
              <c:f>Sheet1!$C$2:$C$3</c:f>
              <c:numCache>
                <c:formatCode>General</c:formatCode>
                <c:ptCount val="2"/>
                <c:pt idx="0">
                  <c:v>90828</c:v>
                </c:pt>
                <c:pt idx="1">
                  <c:v>25184</c:v>
                </c:pt>
              </c:numCache>
            </c:numRef>
          </c:val>
        </c:ser>
        <c:ser>
          <c:idx val="2"/>
          <c:order val="2"/>
          <c:tx>
            <c:strRef>
              <c:f>Sheet1!$D$1</c:f>
              <c:strCache>
                <c:ptCount val="1"/>
                <c:pt idx="0">
                  <c:v>Печатени работи</c:v>
                </c:pt>
              </c:strCache>
            </c:strRef>
          </c:tx>
          <c:spPr>
            <a:solidFill>
              <a:srgbClr val="E7779F"/>
            </a:solidFill>
          </c:spPr>
          <c:invertIfNegative val="0"/>
          <c:dLbls>
            <c:dLbl>
              <c:idx val="0"/>
              <c:layout>
                <c:manualLayout>
                  <c:x val="-1.9434387421829505E-3"/>
                  <c:y val="-5.5159692117137046E-2"/>
                </c:manualLayout>
              </c:layout>
              <c:showLegendKey val="0"/>
              <c:showVal val="0"/>
              <c:showCatName val="0"/>
              <c:showSerName val="1"/>
              <c:showPercent val="0"/>
              <c:showBubbleSize val="0"/>
            </c:dLbl>
            <c:dLbl>
              <c:idx val="1"/>
              <c:layout>
                <c:manualLayout>
                  <c:x val="3.1335544471732028E-2"/>
                  <c:y val="-8.7031466572296434E-2"/>
                </c:manualLayout>
              </c:layout>
              <c:showLegendKey val="0"/>
              <c:showVal val="0"/>
              <c:showCatName val="0"/>
              <c:showSerName val="1"/>
              <c:showPercent val="0"/>
              <c:showBubbleSize val="0"/>
            </c:dLbl>
            <c:numFmt formatCode="General" sourceLinked="0"/>
            <c:txPr>
              <a:bodyPr/>
              <a:lstStyle/>
              <a:p>
                <a:pPr>
                  <a:defRPr sz="1100"/>
                </a:pPr>
                <a:endParaRPr lang="mk-MK"/>
              </a:p>
            </c:txPr>
            <c:showLegendKey val="0"/>
            <c:showVal val="0"/>
            <c:showCatName val="0"/>
            <c:showSerName val="1"/>
            <c:showPercent val="0"/>
            <c:showBubbleSize val="0"/>
            <c:showLeaderLines val="0"/>
          </c:dLbls>
          <c:cat>
            <c:strRef>
              <c:f>Sheet1!$A$2:$A$3</c:f>
              <c:strCache>
                <c:ptCount val="2"/>
                <c:pt idx="0">
                  <c:v>Внатрешен сообраќај</c:v>
                </c:pt>
                <c:pt idx="1">
                  <c:v>Надворешен сообраќај</c:v>
                </c:pt>
              </c:strCache>
            </c:strRef>
          </c:cat>
          <c:val>
            <c:numRef>
              <c:f>Sheet1!$D$2:$D$3</c:f>
              <c:numCache>
                <c:formatCode>General</c:formatCode>
                <c:ptCount val="2"/>
                <c:pt idx="0">
                  <c:v>1768508</c:v>
                </c:pt>
                <c:pt idx="1">
                  <c:v>264250</c:v>
                </c:pt>
              </c:numCache>
            </c:numRef>
          </c:val>
        </c:ser>
        <c:dLbls>
          <c:showLegendKey val="0"/>
          <c:showVal val="0"/>
          <c:showCatName val="0"/>
          <c:showSerName val="0"/>
          <c:showPercent val="0"/>
          <c:showBubbleSize val="0"/>
        </c:dLbls>
        <c:gapWidth val="104"/>
        <c:gapDepth val="72"/>
        <c:shape val="cylinder"/>
        <c:axId val="260733568"/>
        <c:axId val="261054848"/>
        <c:axId val="0"/>
      </c:bar3DChart>
      <c:catAx>
        <c:axId val="260733568"/>
        <c:scaling>
          <c:orientation val="minMax"/>
        </c:scaling>
        <c:delete val="0"/>
        <c:axPos val="l"/>
        <c:majorTickMark val="out"/>
        <c:minorTickMark val="none"/>
        <c:tickLblPos val="nextTo"/>
        <c:txPr>
          <a:bodyPr rot="-5400000" vert="horz"/>
          <a:lstStyle/>
          <a:p>
            <a:pPr>
              <a:defRPr sz="900"/>
            </a:pPr>
            <a:endParaRPr lang="mk-MK"/>
          </a:p>
        </c:txPr>
        <c:crossAx val="261054848"/>
        <c:crosses val="autoZero"/>
        <c:auto val="1"/>
        <c:lblAlgn val="ctr"/>
        <c:lblOffset val="100"/>
        <c:noMultiLvlLbl val="0"/>
      </c:catAx>
      <c:valAx>
        <c:axId val="261054848"/>
        <c:scaling>
          <c:orientation val="minMax"/>
        </c:scaling>
        <c:delete val="0"/>
        <c:axPos val="b"/>
        <c:majorGridlines/>
        <c:numFmt formatCode="0%" sourceLinked="1"/>
        <c:majorTickMark val="out"/>
        <c:minorTickMark val="none"/>
        <c:tickLblPos val="nextTo"/>
        <c:crossAx val="260733568"/>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9.4896206156048671E-2"/>
          <c:y val="2.3247694038245219E-2"/>
          <c:w val="0.90510379384395134"/>
          <c:h val="0.90036505436820402"/>
        </c:manualLayout>
      </c:layout>
      <c:bar3DChart>
        <c:barDir val="col"/>
        <c:grouping val="clustered"/>
        <c:varyColors val="0"/>
        <c:ser>
          <c:idx val="0"/>
          <c:order val="0"/>
          <c:tx>
            <c:strRef>
              <c:f>Sheet1!$B$1</c:f>
              <c:strCache>
                <c:ptCount val="1"/>
                <c:pt idx="0">
                  <c:v>Пакети</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invertIfNegative val="0"/>
          <c:dPt>
            <c:idx val="1"/>
            <c:invertIfNegative val="0"/>
            <c:bubble3D val="0"/>
          </c:dPt>
          <c:dLbls>
            <c:dLbl>
              <c:idx val="0"/>
              <c:layout>
                <c:manualLayout>
                  <c:x val="-6.8369664742863193E-3"/>
                  <c:y val="-1.6824778189347283E-2"/>
                </c:manualLayout>
              </c:layout>
              <c:showLegendKey val="0"/>
              <c:showVal val="1"/>
              <c:showCatName val="0"/>
              <c:showSerName val="0"/>
              <c:showPercent val="0"/>
              <c:showBubbleSize val="0"/>
              <c:separator>
</c:separator>
            </c:dLbl>
            <c:dLbl>
              <c:idx val="1"/>
              <c:layout>
                <c:manualLayout>
                  <c:x val="4.9957285734662356E-2"/>
                  <c:y val="-2.2541482762181382E-2"/>
                </c:manualLayout>
              </c:layout>
              <c:showLegendKey val="0"/>
              <c:showVal val="1"/>
              <c:showCatName val="0"/>
              <c:showSerName val="0"/>
              <c:showPercent val="0"/>
              <c:showBubbleSize val="0"/>
              <c:separator>
</c:separator>
            </c:dLbl>
            <c:dLbl>
              <c:idx val="2"/>
              <c:layout>
                <c:manualLayout>
                  <c:x val="9.2130912704924947E-2"/>
                  <c:y val="1.4430268979340036E-2"/>
                </c:manualLayout>
              </c:layout>
              <c:showLegendKey val="0"/>
              <c:showVal val="1"/>
              <c:showCatName val="0"/>
              <c:showSerName val="0"/>
              <c:showPercent val="0"/>
              <c:showBubbleSize val="0"/>
              <c:separator>
</c:separator>
            </c:dLbl>
            <c:dLbl>
              <c:idx val="3"/>
              <c:layout>
                <c:manualLayout>
                  <c:x val="9.98263822320926E-2"/>
                  <c:y val="1.6812863561626427E-2"/>
                </c:manualLayout>
              </c:layout>
              <c:showLegendKey val="0"/>
              <c:showVal val="1"/>
              <c:showCatName val="0"/>
              <c:showSerName val="0"/>
              <c:showPercent val="0"/>
              <c:showBubbleSize val="0"/>
              <c:separator>
</c:separator>
            </c:dLbl>
            <c:numFmt formatCode="#,##0" sourceLinked="0"/>
            <c:txPr>
              <a:bodyPr/>
              <a:lstStyle/>
              <a:p>
                <a:pPr>
                  <a:defRPr sz="1200" b="1"/>
                </a:pPr>
                <a:endParaRPr lang="mk-MK"/>
              </a:p>
            </c:txPr>
            <c:showLegendKey val="0"/>
            <c:showVal val="1"/>
            <c:showCatName val="0"/>
            <c:showSerName val="0"/>
            <c:showPercent val="0"/>
            <c:showBubbleSize val="0"/>
            <c:separator>
</c:separator>
            <c:showLeaderLines val="0"/>
          </c:dLbls>
          <c:cat>
            <c:numRef>
              <c:f>Sheet1!$A$2:$A$6</c:f>
              <c:numCache>
                <c:formatCode>General</c:formatCode>
                <c:ptCount val="5"/>
                <c:pt idx="0">
                  <c:v>2010</c:v>
                </c:pt>
                <c:pt idx="1">
                  <c:v>2011</c:v>
                </c:pt>
                <c:pt idx="2">
                  <c:v>2012</c:v>
                </c:pt>
                <c:pt idx="3">
                  <c:v>2013</c:v>
                </c:pt>
                <c:pt idx="4">
                  <c:v>2014</c:v>
                </c:pt>
              </c:numCache>
            </c:numRef>
          </c:cat>
          <c:val>
            <c:numRef>
              <c:f>Sheet1!$B$2:$B$6</c:f>
              <c:numCache>
                <c:formatCode>#,##0</c:formatCode>
                <c:ptCount val="5"/>
                <c:pt idx="0">
                  <c:v>201525</c:v>
                </c:pt>
                <c:pt idx="1">
                  <c:v>168705</c:v>
                </c:pt>
                <c:pt idx="2">
                  <c:v>159522</c:v>
                </c:pt>
                <c:pt idx="3">
                  <c:v>134237</c:v>
                </c:pt>
                <c:pt idx="4" formatCode="General">
                  <c:v>116012</c:v>
                </c:pt>
              </c:numCache>
            </c:numRef>
          </c:val>
        </c:ser>
        <c:dLbls>
          <c:showLegendKey val="0"/>
          <c:showVal val="0"/>
          <c:showCatName val="0"/>
          <c:showSerName val="0"/>
          <c:showPercent val="0"/>
          <c:showBubbleSize val="0"/>
        </c:dLbls>
        <c:gapWidth val="100"/>
        <c:shape val="box"/>
        <c:axId val="267792384"/>
        <c:axId val="267793920"/>
        <c:axId val="0"/>
      </c:bar3DChart>
      <c:catAx>
        <c:axId val="267792384"/>
        <c:scaling>
          <c:orientation val="minMax"/>
        </c:scaling>
        <c:delete val="0"/>
        <c:axPos val="b"/>
        <c:numFmt formatCode="General" sourceLinked="1"/>
        <c:majorTickMark val="out"/>
        <c:minorTickMark val="none"/>
        <c:tickLblPos val="nextTo"/>
        <c:crossAx val="267793920"/>
        <c:crosses val="autoZero"/>
        <c:auto val="1"/>
        <c:lblAlgn val="ctr"/>
        <c:lblOffset val="100"/>
        <c:noMultiLvlLbl val="0"/>
      </c:catAx>
      <c:valAx>
        <c:axId val="267793920"/>
        <c:scaling>
          <c:orientation val="minMax"/>
        </c:scaling>
        <c:delete val="0"/>
        <c:axPos val="l"/>
        <c:majorGridlines/>
        <c:numFmt formatCode="#,##0" sourceLinked="1"/>
        <c:majorTickMark val="out"/>
        <c:minorTickMark val="none"/>
        <c:tickLblPos val="nextTo"/>
        <c:crossAx val="267792384"/>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view3D>
      <c:rotX val="20"/>
      <c:rotY val="20"/>
      <c:rAngAx val="0"/>
      <c:perspective val="30"/>
    </c:view3D>
    <c:floor>
      <c:thickness val="0"/>
    </c:floor>
    <c:sideWall>
      <c:thickness val="0"/>
    </c:sideWall>
    <c:backWall>
      <c:thickness val="0"/>
    </c:backWall>
    <c:plotArea>
      <c:layout>
        <c:manualLayout>
          <c:layoutTarget val="inner"/>
          <c:xMode val="edge"/>
          <c:yMode val="edge"/>
          <c:x val="8.8072318058051408E-2"/>
          <c:y val="2.1931786828533226E-2"/>
          <c:w val="0.70343666109065406"/>
          <c:h val="0.86214147759831905"/>
        </c:manualLayout>
      </c:layout>
      <c:bar3DChart>
        <c:barDir val="col"/>
        <c:grouping val="standard"/>
        <c:varyColors val="0"/>
        <c:ser>
          <c:idx val="0"/>
          <c:order val="0"/>
          <c:tx>
            <c:strRef>
              <c:f>Sheet1!$B$1</c:f>
              <c:strCache>
                <c:ptCount val="1"/>
                <c:pt idx="0">
                  <c:v>Печатени работи</c:v>
                </c:pt>
              </c:strCache>
            </c:strRef>
          </c:tx>
          <c:spPr>
            <a:solidFill>
              <a:srgbClr val="E7779F"/>
            </a:solidFill>
          </c:spPr>
          <c:invertIfNegative val="0"/>
          <c:dLbls>
            <c:dLbl>
              <c:idx val="1"/>
              <c:layout>
                <c:manualLayout>
                  <c:x val="6.6458627324089596E-3"/>
                  <c:y val="9.6684144926944854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Sheet1!$A$2:$A$8</c:f>
              <c:strCache>
                <c:ptCount val="7"/>
                <c:pt idx="0">
                  <c:v>2008 година</c:v>
                </c:pt>
                <c:pt idx="1">
                  <c:v>2009 година</c:v>
                </c:pt>
                <c:pt idx="2">
                  <c:v>2010 година</c:v>
                </c:pt>
                <c:pt idx="3">
                  <c:v>2011 година</c:v>
                </c:pt>
                <c:pt idx="4">
                  <c:v>2012 година</c:v>
                </c:pt>
                <c:pt idx="5">
                  <c:v>2013 година</c:v>
                </c:pt>
                <c:pt idx="6">
                  <c:v>2014 година</c:v>
                </c:pt>
              </c:strCache>
            </c:strRef>
          </c:cat>
          <c:val>
            <c:numRef>
              <c:f>Sheet1!$B$2:$B$8</c:f>
              <c:numCache>
                <c:formatCode>General</c:formatCode>
                <c:ptCount val="7"/>
                <c:pt idx="0">
                  <c:v>1182</c:v>
                </c:pt>
                <c:pt idx="1">
                  <c:v>484976</c:v>
                </c:pt>
                <c:pt idx="2">
                  <c:v>60794</c:v>
                </c:pt>
                <c:pt idx="3">
                  <c:v>42384</c:v>
                </c:pt>
                <c:pt idx="4">
                  <c:v>45740</c:v>
                </c:pt>
                <c:pt idx="5">
                  <c:v>42190</c:v>
                </c:pt>
                <c:pt idx="6">
                  <c:v>35620</c:v>
                </c:pt>
              </c:numCache>
            </c:numRef>
          </c:val>
        </c:ser>
        <c:ser>
          <c:idx val="1"/>
          <c:order val="1"/>
          <c:tx>
            <c:strRef>
              <c:f>Sheet1!$C$1</c:f>
              <c:strCache>
                <c:ptCount val="1"/>
                <c:pt idx="0">
                  <c:v>Пакети</c:v>
                </c:pt>
              </c:strCache>
            </c:strRef>
          </c:tx>
          <c:spPr>
            <a:gradFill>
              <a:gsLst>
                <a:gs pos="3000">
                  <a:srgbClr val="DA105D"/>
                </a:gs>
                <a:gs pos="81000">
                  <a:srgbClr val="66008F"/>
                </a:gs>
                <a:gs pos="30000">
                  <a:srgbClr val="BA0066"/>
                </a:gs>
                <a:gs pos="95000">
                  <a:srgbClr val="E7779F"/>
                </a:gs>
                <a:gs pos="100000">
                  <a:srgbClr val="7030A0"/>
                </a:gs>
              </a:gsLst>
              <a:lin ang="8100000" scaled="0"/>
            </a:gradFill>
          </c:spPr>
          <c:invertIfNegative val="0"/>
          <c:dLbls>
            <c:dLbl>
              <c:idx val="1"/>
              <c:layout>
                <c:manualLayout>
                  <c:x val="2.436450027821923E-2"/>
                  <c:y val="3.4323246088134578E-2"/>
                </c:manualLayout>
              </c:layout>
              <c:showLegendKey val="0"/>
              <c:showVal val="1"/>
              <c:showCatName val="0"/>
              <c:showSerName val="0"/>
              <c:showPercent val="0"/>
              <c:showBubbleSize val="0"/>
            </c:dLbl>
            <c:dLbl>
              <c:idx val="2"/>
              <c:layout>
                <c:manualLayout>
                  <c:x val="1.5506931825829464E-2"/>
                  <c:y val="6.1993194246945549E-2"/>
                </c:manualLayout>
              </c:layout>
              <c:showLegendKey val="0"/>
              <c:showVal val="1"/>
              <c:showCatName val="0"/>
              <c:showSerName val="0"/>
              <c:showPercent val="0"/>
              <c:showBubbleSize val="0"/>
            </c:dLbl>
            <c:dLbl>
              <c:idx val="4"/>
              <c:layout>
                <c:manualLayout>
                  <c:x val="1.3291980505095259E-2"/>
                  <c:y val="0"/>
                </c:manualLayout>
              </c:layout>
              <c:showLegendKey val="0"/>
              <c:showVal val="1"/>
              <c:showCatName val="0"/>
              <c:showSerName val="0"/>
              <c:showPercent val="0"/>
              <c:showBubbleSize val="0"/>
            </c:dLbl>
            <c:dLbl>
              <c:idx val="5"/>
              <c:layout>
                <c:manualLayout>
                  <c:x val="6.6458627324090412E-3"/>
                  <c:y val="3.2072731864385348E-2"/>
                </c:manualLayout>
              </c:layout>
              <c:showLegendKey val="0"/>
              <c:showVal val="1"/>
              <c:showCatName val="0"/>
              <c:showSerName val="0"/>
              <c:showPercent val="0"/>
              <c:showBubbleSize val="0"/>
            </c:dLbl>
            <c:dLbl>
              <c:idx val="6"/>
              <c:layout>
                <c:manualLayout>
                  <c:x val="2.136752136752215E-3"/>
                  <c:y val="2.15633423180593E-2"/>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Sheet1!$A$2:$A$8</c:f>
              <c:strCache>
                <c:ptCount val="7"/>
                <c:pt idx="0">
                  <c:v>2008 година</c:v>
                </c:pt>
                <c:pt idx="1">
                  <c:v>2009 година</c:v>
                </c:pt>
                <c:pt idx="2">
                  <c:v>2010 година</c:v>
                </c:pt>
                <c:pt idx="3">
                  <c:v>2011 година</c:v>
                </c:pt>
                <c:pt idx="4">
                  <c:v>2012 година</c:v>
                </c:pt>
                <c:pt idx="5">
                  <c:v>2013 година</c:v>
                </c:pt>
                <c:pt idx="6">
                  <c:v>2014 година</c:v>
                </c:pt>
              </c:strCache>
            </c:strRef>
          </c:cat>
          <c:val>
            <c:numRef>
              <c:f>Sheet1!$C$2:$C$8</c:f>
              <c:numCache>
                <c:formatCode>#,##0</c:formatCode>
                <c:ptCount val="7"/>
                <c:pt idx="0" formatCode="General">
                  <c:v>1168</c:v>
                </c:pt>
                <c:pt idx="1">
                  <c:v>127437</c:v>
                </c:pt>
                <c:pt idx="2" formatCode="General">
                  <c:v>307554</c:v>
                </c:pt>
                <c:pt idx="3" formatCode="General">
                  <c:v>368136</c:v>
                </c:pt>
                <c:pt idx="4" formatCode="General">
                  <c:v>561014</c:v>
                </c:pt>
                <c:pt idx="5" formatCode="General">
                  <c:v>762290</c:v>
                </c:pt>
                <c:pt idx="6" formatCode="General">
                  <c:v>966183</c:v>
                </c:pt>
              </c:numCache>
            </c:numRef>
          </c:val>
        </c:ser>
        <c:ser>
          <c:idx val="2"/>
          <c:order val="2"/>
          <c:tx>
            <c:strRef>
              <c:f>Sheet1!$D$1</c:f>
              <c:strCache>
                <c:ptCount val="1"/>
                <c:pt idx="0">
                  <c:v>Пратки за коресподенција</c:v>
                </c:pt>
              </c:strCache>
            </c:strRef>
          </c:tx>
          <c:spPr>
            <a:solidFill>
              <a:srgbClr val="7030A0"/>
            </a:solidFill>
          </c:spPr>
          <c:invertIfNegative val="0"/>
          <c:dLbls>
            <c:dLbl>
              <c:idx val="5"/>
              <c:layout>
                <c:manualLayout>
                  <c:x val="8.8613203367301722E-3"/>
                  <c:y val="-1.2832852101379532E-2"/>
                </c:manualLayout>
              </c:layout>
              <c:showLegendKey val="0"/>
              <c:showVal val="1"/>
              <c:showCatName val="0"/>
              <c:showSerName val="0"/>
              <c:showPercent val="0"/>
              <c:showBubbleSize val="0"/>
            </c:dLbl>
            <c:dLbl>
              <c:idx val="6"/>
              <c:layout>
                <c:manualLayout>
                  <c:x val="1.7094017094017096E-2"/>
                  <c:y val="-1.078167115902965E-2"/>
                </c:manualLayout>
              </c:layout>
              <c:showLegendKey val="0"/>
              <c:showVal val="1"/>
              <c:showCatName val="0"/>
              <c:showSerName val="0"/>
              <c:showPercent val="0"/>
              <c:showBubbleSize val="0"/>
            </c:dLbl>
            <c:numFmt formatCode="#,##0" sourceLinked="0"/>
            <c:txPr>
              <a:bodyPr/>
              <a:lstStyle/>
              <a:p>
                <a:pPr>
                  <a:defRPr sz="1100"/>
                </a:pPr>
                <a:endParaRPr lang="mk-MK"/>
              </a:p>
            </c:txPr>
            <c:showLegendKey val="0"/>
            <c:showVal val="1"/>
            <c:showCatName val="0"/>
            <c:showSerName val="0"/>
            <c:showPercent val="0"/>
            <c:showBubbleSize val="0"/>
            <c:showLeaderLines val="0"/>
          </c:dLbls>
          <c:cat>
            <c:strRef>
              <c:f>Sheet1!$A$2:$A$8</c:f>
              <c:strCache>
                <c:ptCount val="7"/>
                <c:pt idx="0">
                  <c:v>2008 година</c:v>
                </c:pt>
                <c:pt idx="1">
                  <c:v>2009 година</c:v>
                </c:pt>
                <c:pt idx="2">
                  <c:v>2010 година</c:v>
                </c:pt>
                <c:pt idx="3">
                  <c:v>2011 година</c:v>
                </c:pt>
                <c:pt idx="4">
                  <c:v>2012 година</c:v>
                </c:pt>
                <c:pt idx="5">
                  <c:v>2013 година</c:v>
                </c:pt>
                <c:pt idx="6">
                  <c:v>2014 година</c:v>
                </c:pt>
              </c:strCache>
            </c:strRef>
          </c:cat>
          <c:val>
            <c:numRef>
              <c:f>Sheet1!$D$2:$D$8</c:f>
              <c:numCache>
                <c:formatCode>General</c:formatCode>
                <c:ptCount val="7"/>
                <c:pt idx="0">
                  <c:v>191490</c:v>
                </c:pt>
                <c:pt idx="1">
                  <c:v>536615</c:v>
                </c:pt>
                <c:pt idx="2">
                  <c:v>495562</c:v>
                </c:pt>
                <c:pt idx="3">
                  <c:v>378962</c:v>
                </c:pt>
                <c:pt idx="4">
                  <c:v>544460</c:v>
                </c:pt>
                <c:pt idx="5">
                  <c:v>683511</c:v>
                </c:pt>
                <c:pt idx="6">
                  <c:v>905518</c:v>
                </c:pt>
              </c:numCache>
            </c:numRef>
          </c:val>
        </c:ser>
        <c:dLbls>
          <c:showLegendKey val="0"/>
          <c:showVal val="0"/>
          <c:showCatName val="0"/>
          <c:showSerName val="0"/>
          <c:showPercent val="0"/>
          <c:showBubbleSize val="0"/>
        </c:dLbls>
        <c:gapWidth val="150"/>
        <c:shape val="cylinder"/>
        <c:axId val="297630720"/>
        <c:axId val="297669760"/>
        <c:axId val="195384640"/>
      </c:bar3DChart>
      <c:catAx>
        <c:axId val="297630720"/>
        <c:scaling>
          <c:orientation val="minMax"/>
        </c:scaling>
        <c:delete val="0"/>
        <c:axPos val="b"/>
        <c:majorTickMark val="out"/>
        <c:minorTickMark val="none"/>
        <c:tickLblPos val="nextTo"/>
        <c:crossAx val="297669760"/>
        <c:crosses val="autoZero"/>
        <c:auto val="1"/>
        <c:lblAlgn val="ctr"/>
        <c:lblOffset val="100"/>
        <c:noMultiLvlLbl val="0"/>
      </c:catAx>
      <c:valAx>
        <c:axId val="297669760"/>
        <c:scaling>
          <c:orientation val="minMax"/>
        </c:scaling>
        <c:delete val="0"/>
        <c:axPos val="l"/>
        <c:majorGridlines/>
        <c:numFmt formatCode="#,##0" sourceLinked="0"/>
        <c:majorTickMark val="out"/>
        <c:minorTickMark val="none"/>
        <c:tickLblPos val="nextTo"/>
        <c:crossAx val="297630720"/>
        <c:crosses val="autoZero"/>
        <c:crossBetween val="between"/>
      </c:valAx>
      <c:serAx>
        <c:axId val="195384640"/>
        <c:scaling>
          <c:orientation val="minMax"/>
        </c:scaling>
        <c:delete val="1"/>
        <c:axPos val="b"/>
        <c:majorTickMark val="out"/>
        <c:minorTickMark val="none"/>
        <c:tickLblPos val="nextTo"/>
        <c:crossAx val="297669760"/>
        <c:crosses val="autoZero"/>
      </c:serAx>
      <c:spPr>
        <a:noFill/>
        <a:ln>
          <a:noFill/>
        </a:ln>
      </c:spPr>
    </c:plotArea>
    <c:legend>
      <c:legendPos val="r"/>
      <c:layout>
        <c:manualLayout>
          <c:xMode val="edge"/>
          <c:yMode val="edge"/>
          <c:x val="0.79795414808718335"/>
          <c:y val="2.5385314640547982E-2"/>
          <c:w val="0.19985996290245311"/>
          <c:h val="0.97461468535945206"/>
        </c:manualLayout>
      </c:layout>
      <c:overlay val="0"/>
      <c:txPr>
        <a:bodyPr/>
        <a:lstStyle/>
        <a:p>
          <a:pPr>
            <a:defRPr sz="1100"/>
          </a:pPr>
          <a:endParaRPr lang="mk-MK"/>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AFDFD-E0F4-416A-9F0C-9F06C11F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32</Pages>
  <Words>4313</Words>
  <Characters>24588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Danijela Spasik</cp:lastModifiedBy>
  <cp:revision>23</cp:revision>
  <dcterms:created xsi:type="dcterms:W3CDTF">2015-12-01T09:30:00Z</dcterms:created>
  <dcterms:modified xsi:type="dcterms:W3CDTF">2019-08-21T11:08:00Z</dcterms:modified>
</cp:coreProperties>
</file>